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8ED72">
      <w:pPr>
        <w:widowControl/>
        <w:kinsoku w:val="0"/>
        <w:autoSpaceDE w:val="0"/>
        <w:autoSpaceDN w:val="0"/>
        <w:adjustRightInd w:val="0"/>
        <w:snapToGrid w:val="0"/>
        <w:spacing w:before="156" w:line="195" w:lineRule="auto"/>
        <w:ind w:left="330"/>
        <w:jc w:val="left"/>
        <w:textAlignment w:val="baseline"/>
        <w:rPr>
          <w:rFonts w:ascii="Times New Roman" w:hAnsi="Times New Roman" w:eastAsia="Times New Roman" w:cs="Times New Roman"/>
          <w:snapToGrid w:val="0"/>
          <w:color w:val="000000"/>
          <w:kern w:val="0"/>
          <w:sz w:val="20"/>
          <w:szCs w:val="20"/>
          <w:lang w:eastAsia="en-US"/>
        </w:rPr>
      </w:pPr>
      <w:r>
        <w:rPr>
          <w:rFonts w:ascii="Times New Roman" w:hAnsi="Times New Roman" w:eastAsia="Times New Roman" w:cs="Times New Roman"/>
          <w:snapToGrid w:val="0"/>
          <w:color w:val="000000"/>
          <w:spacing w:val="2"/>
          <w:kern w:val="0"/>
          <w:sz w:val="20"/>
          <w:szCs w:val="20"/>
          <w:lang w:eastAsia="en-US"/>
        </w:rPr>
        <w:t>ICS</w:t>
      </w:r>
    </w:p>
    <w:p w14:paraId="69B5AB5F">
      <w:pPr>
        <w:widowControl/>
        <w:kinsoku w:val="0"/>
        <w:autoSpaceDE w:val="0"/>
        <w:autoSpaceDN w:val="0"/>
        <w:adjustRightInd w:val="0"/>
        <w:snapToGrid w:val="0"/>
        <w:spacing w:before="125" w:line="195" w:lineRule="auto"/>
        <w:ind w:right="21"/>
        <w:jc w:val="right"/>
        <w:textAlignment w:val="baseline"/>
        <w:rPr>
          <w:rFonts w:ascii="Times New Roman" w:hAnsi="Times New Roman" w:eastAsia="Times New Roman" w:cs="Times New Roman"/>
          <w:snapToGrid w:val="0"/>
          <w:color w:val="000000"/>
          <w:kern w:val="0"/>
          <w:sz w:val="20"/>
          <w:szCs w:val="20"/>
          <w:lang w:eastAsia="en-US"/>
        </w:rPr>
      </w:pPr>
      <w:r>
        <w:rPr>
          <w:rFonts w:ascii="Times New Roman" w:hAnsi="Times New Roman" w:eastAsia="Times New Roman" w:cs="Times New Roman"/>
          <w:snapToGrid w:val="0"/>
          <w:color w:val="000000"/>
          <w:spacing w:val="3"/>
          <w:kern w:val="0"/>
          <w:sz w:val="20"/>
          <w:szCs w:val="20"/>
          <w:lang w:eastAsia="en-US"/>
        </w:rPr>
        <w:t>CCS</w:t>
      </w:r>
    </w:p>
    <w:p w14:paraId="4903BDB1">
      <w:pPr>
        <w:widowControl/>
        <w:kinsoku w:val="0"/>
        <w:autoSpaceDE w:val="0"/>
        <w:autoSpaceDN w:val="0"/>
        <w:adjustRightInd w:val="0"/>
        <w:snapToGrid w:val="0"/>
        <w:spacing w:before="12" w:line="240" w:lineRule="auto"/>
        <w:jc w:val="left"/>
        <w:textAlignment w:val="baseline"/>
        <w:rPr>
          <w:rFonts w:ascii="Arial" w:hAnsi="Arial" w:eastAsia="Arial" w:cs="Arial"/>
          <w:snapToGrid w:val="0"/>
          <w:color w:val="000000"/>
          <w:kern w:val="0"/>
          <w:szCs w:val="21"/>
          <w:lang w:eastAsia="en-US"/>
        </w:rPr>
      </w:pPr>
    </w:p>
    <w:p w14:paraId="2B0A604E">
      <w:pPr>
        <w:widowControl/>
        <w:kinsoku w:val="0"/>
        <w:autoSpaceDE w:val="0"/>
        <w:autoSpaceDN w:val="0"/>
        <w:adjustRightInd w:val="0"/>
        <w:snapToGrid w:val="0"/>
        <w:spacing w:before="12" w:line="240" w:lineRule="auto"/>
        <w:jc w:val="left"/>
        <w:textAlignment w:val="baseline"/>
        <w:rPr>
          <w:rFonts w:ascii="Arial" w:hAnsi="Arial" w:eastAsia="Arial" w:cs="Arial"/>
          <w:snapToGrid w:val="0"/>
          <w:color w:val="000000"/>
          <w:kern w:val="0"/>
          <w:szCs w:val="21"/>
          <w:lang w:eastAsia="en-US"/>
        </w:rPr>
      </w:pPr>
    </w:p>
    <w:p w14:paraId="53B75734">
      <w:pPr>
        <w:widowControl/>
        <w:kinsoku w:val="0"/>
        <w:autoSpaceDE w:val="0"/>
        <w:autoSpaceDN w:val="0"/>
        <w:adjustRightInd w:val="0"/>
        <w:snapToGrid w:val="0"/>
        <w:spacing w:before="12" w:line="240" w:lineRule="auto"/>
        <w:jc w:val="left"/>
        <w:textAlignment w:val="baseline"/>
        <w:rPr>
          <w:rFonts w:ascii="Arial" w:hAnsi="Arial" w:eastAsia="Arial" w:cs="Arial"/>
          <w:snapToGrid w:val="0"/>
          <w:color w:val="000000"/>
          <w:kern w:val="0"/>
          <w:szCs w:val="21"/>
          <w:lang w:eastAsia="en-US"/>
        </w:rPr>
      </w:pPr>
    </w:p>
    <w:p w14:paraId="444AF35C">
      <w:pPr>
        <w:widowControl/>
        <w:kinsoku w:val="0"/>
        <w:autoSpaceDE w:val="0"/>
        <w:autoSpaceDN w:val="0"/>
        <w:adjustRightInd w:val="0"/>
        <w:snapToGrid w:val="0"/>
        <w:spacing w:before="12" w:line="240" w:lineRule="auto"/>
        <w:jc w:val="left"/>
        <w:textAlignment w:val="baseline"/>
        <w:rPr>
          <w:rFonts w:ascii="Arial" w:hAnsi="Arial" w:eastAsia="Arial" w:cs="Arial"/>
          <w:snapToGrid w:val="0"/>
          <w:color w:val="000000"/>
          <w:kern w:val="0"/>
          <w:szCs w:val="21"/>
          <w:lang w:eastAsia="en-US"/>
        </w:rPr>
      </w:pPr>
    </w:p>
    <w:p w14:paraId="370C1743">
      <w:pPr>
        <w:widowControl/>
        <w:kinsoku w:val="0"/>
        <w:autoSpaceDE w:val="0"/>
        <w:autoSpaceDN w:val="0"/>
        <w:adjustRightInd w:val="0"/>
        <w:snapToGrid w:val="0"/>
        <w:spacing w:before="12" w:line="240" w:lineRule="auto"/>
        <w:jc w:val="left"/>
        <w:textAlignment w:val="baseline"/>
        <w:rPr>
          <w:rFonts w:ascii="Arial" w:hAnsi="Arial" w:eastAsia="Arial" w:cs="Arial"/>
          <w:snapToGrid w:val="0"/>
          <w:color w:val="000000"/>
          <w:kern w:val="0"/>
          <w:szCs w:val="21"/>
          <w:lang w:eastAsia="en-US"/>
        </w:rPr>
      </w:pPr>
    </w:p>
    <w:p w14:paraId="3CFFF257">
      <w:pPr>
        <w:widowControl/>
        <w:kinsoku w:val="0"/>
        <w:autoSpaceDE w:val="0"/>
        <w:autoSpaceDN w:val="0"/>
        <w:adjustRightInd w:val="0"/>
        <w:snapToGrid w:val="0"/>
        <w:spacing w:before="12" w:line="240" w:lineRule="auto"/>
        <w:jc w:val="left"/>
        <w:textAlignment w:val="baseline"/>
        <w:rPr>
          <w:rFonts w:ascii="Arial" w:hAnsi="Arial" w:eastAsia="Arial" w:cs="Arial"/>
          <w:snapToGrid w:val="0"/>
          <w:color w:val="000000"/>
          <w:kern w:val="0"/>
          <w:szCs w:val="21"/>
          <w:lang w:eastAsia="en-US"/>
        </w:rPr>
      </w:pPr>
    </w:p>
    <w:p w14:paraId="2F95F752">
      <w:pPr>
        <w:widowControl/>
        <w:kinsoku w:val="0"/>
        <w:autoSpaceDE w:val="0"/>
        <w:autoSpaceDN w:val="0"/>
        <w:adjustRightInd w:val="0"/>
        <w:snapToGrid w:val="0"/>
        <w:spacing w:before="12" w:line="240" w:lineRule="auto"/>
        <w:jc w:val="left"/>
        <w:textAlignment w:val="baseline"/>
        <w:rPr>
          <w:rFonts w:ascii="Arial" w:hAnsi="Arial" w:eastAsia="Arial" w:cs="Arial"/>
          <w:snapToGrid w:val="0"/>
          <w:color w:val="000000"/>
          <w:kern w:val="0"/>
          <w:szCs w:val="21"/>
          <w:lang w:eastAsia="en-US"/>
        </w:rPr>
      </w:pPr>
    </w:p>
    <w:p w14:paraId="1B7D0B42">
      <w:pPr>
        <w:widowControl/>
        <w:kinsoku w:val="0"/>
        <w:autoSpaceDE w:val="0"/>
        <w:autoSpaceDN w:val="0"/>
        <w:adjustRightInd w:val="0"/>
        <w:snapToGrid w:val="0"/>
        <w:spacing w:before="12" w:line="240" w:lineRule="auto"/>
        <w:jc w:val="left"/>
        <w:textAlignment w:val="baseline"/>
        <w:rPr>
          <w:rFonts w:ascii="Arial" w:hAnsi="Arial" w:eastAsia="Arial" w:cs="Arial"/>
          <w:snapToGrid w:val="0"/>
          <w:color w:val="000000"/>
          <w:kern w:val="0"/>
          <w:szCs w:val="21"/>
          <w:lang w:eastAsia="en-US"/>
        </w:rPr>
      </w:pPr>
    </w:p>
    <w:p w14:paraId="010CA07B">
      <w:pPr>
        <w:widowControl/>
        <w:kinsoku w:val="0"/>
        <w:autoSpaceDE w:val="0"/>
        <w:autoSpaceDN w:val="0"/>
        <w:adjustRightInd w:val="0"/>
        <w:snapToGrid w:val="0"/>
        <w:spacing w:before="12" w:line="240" w:lineRule="auto"/>
        <w:jc w:val="left"/>
        <w:textAlignment w:val="baseline"/>
        <w:rPr>
          <w:rFonts w:ascii="Arial" w:hAnsi="Arial" w:eastAsia="Arial" w:cs="Arial"/>
          <w:snapToGrid w:val="0"/>
          <w:color w:val="000000"/>
          <w:kern w:val="0"/>
          <w:szCs w:val="21"/>
          <w:lang w:eastAsia="en-US"/>
        </w:rPr>
      </w:pPr>
    </w:p>
    <w:p w14:paraId="2BA5C0B5">
      <w:pPr>
        <w:widowControl/>
        <w:kinsoku w:val="0"/>
        <w:autoSpaceDE w:val="0"/>
        <w:autoSpaceDN w:val="0"/>
        <w:adjustRightInd w:val="0"/>
        <w:snapToGrid w:val="0"/>
        <w:spacing w:before="11" w:line="240" w:lineRule="auto"/>
        <w:jc w:val="left"/>
        <w:textAlignment w:val="baseline"/>
        <w:rPr>
          <w:rFonts w:ascii="Arial" w:hAnsi="Arial" w:eastAsia="Arial" w:cs="Arial"/>
          <w:snapToGrid w:val="0"/>
          <w:color w:val="000000"/>
          <w:kern w:val="0"/>
          <w:szCs w:val="21"/>
          <w:lang w:eastAsia="en-US"/>
        </w:rPr>
      </w:pPr>
    </w:p>
    <w:p w14:paraId="70FC7C0F">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eastAsia="en-US"/>
        </w:rPr>
      </w:pPr>
      <w:r>
        <w:rPr>
          <w:rFonts w:ascii="Arial" w:hAnsi="Arial" w:eastAsia="Arial" w:cs="Arial"/>
          <w:snapToGrid w:val="0"/>
          <w:color w:val="000000"/>
          <w:kern w:val="0"/>
          <w:sz w:val="2"/>
          <w:szCs w:val="2"/>
          <w:lang w:eastAsia="en-US"/>
        </w:rPr>
        <w:br w:type="column"/>
      </w:r>
    </w:p>
    <w:p w14:paraId="13B4F452">
      <w:pPr>
        <w:kinsoku w:val="0"/>
        <w:autoSpaceDE w:val="0"/>
        <w:autoSpaceDN w:val="0"/>
        <w:adjustRightInd w:val="0"/>
        <w:snapToGrid w:val="0"/>
        <w:spacing w:before="137" w:line="299" w:lineRule="auto"/>
        <w:ind w:left="1" w:right="1384" w:hanging="1"/>
        <w:jc w:val="left"/>
        <w:textAlignment w:val="baseline"/>
        <w:rPr>
          <w:rFonts w:ascii="黑体" w:hAnsi="黑体" w:eastAsia="黑体" w:cs="黑体"/>
          <w:snapToGrid w:val="0"/>
          <w:color w:val="000000"/>
          <w:kern w:val="0"/>
          <w:sz w:val="20"/>
          <w:szCs w:val="20"/>
          <w:lang w:val="en-US" w:eastAsia="en-US" w:bidi="ar-SA"/>
        </w:rPr>
      </w:pPr>
      <w:r>
        <w:rPr>
          <w:rFonts w:ascii="黑体" w:hAnsi="黑体" w:eastAsia="黑体" w:cs="黑体"/>
          <w:snapToGrid w:val="0"/>
          <w:color w:val="000000"/>
          <w:spacing w:val="3"/>
          <w:kern w:val="0"/>
          <w:sz w:val="20"/>
          <w:szCs w:val="20"/>
          <w:lang w:val="en-US" w:eastAsia="en-US" w:bidi="ar-SA"/>
        </w:rPr>
        <w:t xml:space="preserve">65.120 </w:t>
      </w:r>
      <w:r>
        <w:rPr>
          <w:rFonts w:ascii="黑体" w:hAnsi="黑体" w:eastAsia="黑体" w:cs="黑体"/>
          <w:snapToGrid w:val="0"/>
          <w:color w:val="000000"/>
          <w:spacing w:val="2"/>
          <w:kern w:val="0"/>
          <w:sz w:val="20"/>
          <w:szCs w:val="20"/>
          <w:lang w:val="en-US" w:eastAsia="en-US" w:bidi="ar-SA"/>
        </w:rPr>
        <w:t>B25</w:t>
      </w:r>
    </w:p>
    <w:p w14:paraId="62F42F30">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eastAsia="en-US"/>
        </w:rPr>
      </w:pPr>
      <w:r>
        <w:rPr>
          <w:rFonts w:ascii="Arial" w:hAnsi="Arial" w:eastAsia="Arial" w:cs="Arial"/>
          <w:snapToGrid w:val="0"/>
          <w:color w:val="000000"/>
          <w:kern w:val="0"/>
          <w:sz w:val="2"/>
          <w:szCs w:val="2"/>
          <w:lang w:eastAsia="en-US"/>
        </w:rPr>
        <w:br w:type="column"/>
      </w:r>
    </w:p>
    <w:p w14:paraId="78B4FEBD">
      <w:pPr>
        <w:widowControl/>
        <w:kinsoku w:val="0"/>
        <w:autoSpaceDE w:val="0"/>
        <w:autoSpaceDN w:val="0"/>
        <w:adjustRightInd w:val="0"/>
        <w:snapToGrid w:val="0"/>
        <w:spacing w:line="323" w:lineRule="auto"/>
        <w:jc w:val="left"/>
        <w:textAlignment w:val="baseline"/>
        <w:rPr>
          <w:rFonts w:ascii="Arial" w:hAnsi="Arial" w:eastAsia="Arial" w:cs="Arial"/>
          <w:snapToGrid w:val="0"/>
          <w:color w:val="000000"/>
          <w:kern w:val="0"/>
          <w:sz w:val="21"/>
          <w:szCs w:val="21"/>
          <w:lang w:eastAsia="en-US"/>
        </w:rPr>
      </w:pPr>
    </w:p>
    <w:p w14:paraId="5DF80A91">
      <w:pPr>
        <w:widowControl/>
        <w:kinsoku w:val="0"/>
        <w:autoSpaceDE w:val="0"/>
        <w:autoSpaceDN w:val="0"/>
        <w:adjustRightInd w:val="0"/>
        <w:snapToGrid w:val="0"/>
        <w:spacing w:line="323" w:lineRule="auto"/>
        <w:jc w:val="left"/>
        <w:textAlignment w:val="baseline"/>
        <w:rPr>
          <w:rFonts w:ascii="Arial" w:hAnsi="Arial" w:eastAsia="Arial" w:cs="Arial"/>
          <w:snapToGrid w:val="0"/>
          <w:color w:val="000000"/>
          <w:kern w:val="0"/>
          <w:sz w:val="21"/>
          <w:szCs w:val="21"/>
          <w:lang w:eastAsia="en-US"/>
        </w:rPr>
      </w:pPr>
    </w:p>
    <w:p w14:paraId="12A0357A">
      <w:pPr>
        <w:widowControl/>
        <w:kinsoku w:val="0"/>
        <w:autoSpaceDE w:val="0"/>
        <w:autoSpaceDN w:val="0"/>
        <w:adjustRightInd w:val="0"/>
        <w:snapToGrid w:val="0"/>
        <w:spacing w:before="273" w:line="197" w:lineRule="auto"/>
        <w:jc w:val="left"/>
        <w:textAlignment w:val="baseline"/>
        <w:rPr>
          <w:rFonts w:ascii="Times New Roman" w:hAnsi="Times New Roman" w:eastAsia="Times New Roman" w:cs="Times New Roman"/>
          <w:snapToGrid w:val="0"/>
          <w:color w:val="000000"/>
          <w:kern w:val="0"/>
          <w:sz w:val="95"/>
          <w:szCs w:val="95"/>
          <w:lang w:eastAsia="en-US"/>
        </w:rPr>
      </w:pPr>
      <w:r>
        <w:rPr>
          <w:rFonts w:ascii="Times New Roman" w:hAnsi="Times New Roman" w:eastAsia="Times New Roman" w:cs="Times New Roman"/>
          <w:snapToGrid w:val="0"/>
          <w:color w:val="000000"/>
          <w:kern w:val="0"/>
          <w:position w:val="1"/>
          <w:sz w:val="95"/>
          <w:szCs w:val="95"/>
          <w:lang w:eastAsia="en-US"/>
        </w:rPr>
        <w:drawing>
          <wp:inline distT="0" distB="0" distL="0" distR="0">
            <wp:extent cx="589280" cy="435610"/>
            <wp:effectExtent l="0" t="0" r="1270" b="254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
                    <a:stretch>
                      <a:fillRect/>
                    </a:stretch>
                  </pic:blipFill>
                  <pic:spPr>
                    <a:xfrm>
                      <a:off x="0" y="0"/>
                      <a:ext cx="589788" cy="435864"/>
                    </a:xfrm>
                    <a:prstGeom prst="rect">
                      <a:avLst/>
                    </a:prstGeom>
                  </pic:spPr>
                </pic:pic>
              </a:graphicData>
            </a:graphic>
          </wp:inline>
        </w:drawing>
      </w:r>
      <w:r>
        <w:rPr>
          <w:rFonts w:ascii="Times New Roman" w:hAnsi="Times New Roman" w:eastAsia="Times New Roman" w:cs="Times New Roman"/>
          <w:b/>
          <w:bCs/>
          <w:snapToGrid w:val="0"/>
          <w:color w:val="000000"/>
          <w:spacing w:val="118"/>
          <w:kern w:val="0"/>
          <w:sz w:val="95"/>
          <w:szCs w:val="95"/>
          <w:lang w:eastAsia="en-US"/>
        </w:rPr>
        <w:t xml:space="preserve"> </w:t>
      </w:r>
      <w:r>
        <w:rPr>
          <w:rFonts w:ascii="Times New Roman" w:hAnsi="Times New Roman" w:eastAsia="Times New Roman" w:cs="Times New Roman"/>
          <w:b/>
          <w:bCs/>
          <w:snapToGrid w:val="0"/>
          <w:color w:val="000000"/>
          <w:spacing w:val="37"/>
          <w:w w:val="125"/>
          <w:kern w:val="0"/>
          <w:sz w:val="95"/>
          <w:szCs w:val="95"/>
          <w:lang w:eastAsia="en-US"/>
        </w:rPr>
        <w:t>IMAALE</w:t>
      </w:r>
    </w:p>
    <w:p w14:paraId="1DADBCDB">
      <w:pPr>
        <w:kinsoku w:val="0"/>
        <w:autoSpaceDE w:val="0"/>
        <w:autoSpaceDN w:val="0"/>
        <w:adjustRightInd w:val="0"/>
        <w:snapToGrid w:val="0"/>
        <w:spacing w:before="55" w:line="228" w:lineRule="auto"/>
        <w:ind w:left="2629"/>
        <w:jc w:val="left"/>
        <w:textAlignment w:val="baseline"/>
        <w:rPr>
          <w:rFonts w:ascii="黑体" w:hAnsi="黑体" w:eastAsia="黑体" w:cs="黑体"/>
          <w:snapToGrid w:val="0"/>
          <w:color w:val="000000"/>
          <w:spacing w:val="-20"/>
          <w:kern w:val="0"/>
          <w:sz w:val="47"/>
          <w:szCs w:val="47"/>
          <w:lang w:val="en-US" w:eastAsia="en-US" w:bidi="ar-SA"/>
        </w:rPr>
      </w:pPr>
      <w:r>
        <w:rPr>
          <w:rFonts w:ascii="黑体" w:hAnsi="黑体" w:eastAsia="黑体" w:cs="黑体"/>
          <w:snapToGrid w:val="0"/>
          <w:color w:val="000000"/>
          <w:spacing w:val="-20"/>
          <w:kern w:val="0"/>
          <w:sz w:val="47"/>
          <w:szCs w:val="47"/>
          <w:lang w:val="en-US" w:eastAsia="en-US" w:bidi="ar-SA"/>
        </w:rPr>
        <w:t>团</w:t>
      </w:r>
      <w:r>
        <w:rPr>
          <w:rFonts w:ascii="黑体" w:hAnsi="黑体" w:eastAsia="黑体" w:cs="黑体"/>
          <w:snapToGrid w:val="0"/>
          <w:color w:val="000000"/>
          <w:spacing w:val="-28"/>
          <w:kern w:val="0"/>
          <w:sz w:val="47"/>
          <w:szCs w:val="47"/>
          <w:lang w:val="en-US" w:eastAsia="en-US" w:bidi="ar-SA"/>
        </w:rPr>
        <w:t xml:space="preserve"> </w:t>
      </w:r>
      <w:r>
        <w:rPr>
          <w:rFonts w:hint="eastAsia" w:ascii="黑体" w:hAnsi="黑体" w:eastAsia="黑体" w:cs="黑体"/>
          <w:snapToGrid w:val="0"/>
          <w:color w:val="000000"/>
          <w:spacing w:val="-28"/>
          <w:kern w:val="0"/>
          <w:sz w:val="47"/>
          <w:szCs w:val="47"/>
          <w:lang w:val="en-US" w:eastAsia="zh-CN" w:bidi="ar-SA"/>
        </w:rPr>
        <w:t xml:space="preserve"> </w:t>
      </w:r>
      <w:r>
        <w:rPr>
          <w:rFonts w:ascii="黑体" w:hAnsi="黑体" w:eastAsia="黑体" w:cs="黑体"/>
          <w:snapToGrid w:val="0"/>
          <w:color w:val="000000"/>
          <w:spacing w:val="-28"/>
          <w:kern w:val="0"/>
          <w:sz w:val="47"/>
          <w:szCs w:val="47"/>
          <w:lang w:val="en-US" w:eastAsia="en-US" w:bidi="ar-SA"/>
        </w:rPr>
        <w:t xml:space="preserve"> </w:t>
      </w:r>
      <w:r>
        <w:rPr>
          <w:rFonts w:hint="eastAsia" w:ascii="黑体" w:hAnsi="黑体" w:eastAsia="黑体" w:cs="黑体"/>
          <w:snapToGrid w:val="0"/>
          <w:color w:val="000000"/>
          <w:spacing w:val="-28"/>
          <w:kern w:val="0"/>
          <w:sz w:val="47"/>
          <w:szCs w:val="47"/>
          <w:lang w:val="en-US" w:eastAsia="zh-CN" w:bidi="ar-SA"/>
        </w:rPr>
        <w:t xml:space="preserve">  </w:t>
      </w:r>
      <w:r>
        <w:rPr>
          <w:rFonts w:ascii="黑体" w:hAnsi="黑体" w:eastAsia="黑体" w:cs="黑体"/>
          <w:snapToGrid w:val="0"/>
          <w:color w:val="000000"/>
          <w:spacing w:val="-20"/>
          <w:kern w:val="0"/>
          <w:sz w:val="47"/>
          <w:szCs w:val="47"/>
          <w:lang w:val="en-US" w:eastAsia="en-US" w:bidi="ar-SA"/>
        </w:rPr>
        <w:t>体</w:t>
      </w:r>
      <w:r>
        <w:rPr>
          <w:rFonts w:ascii="黑体" w:hAnsi="黑体" w:eastAsia="黑体" w:cs="黑体"/>
          <w:snapToGrid w:val="0"/>
          <w:color w:val="000000"/>
          <w:spacing w:val="-28"/>
          <w:kern w:val="0"/>
          <w:sz w:val="47"/>
          <w:szCs w:val="47"/>
          <w:lang w:val="en-US" w:eastAsia="en-US" w:bidi="ar-SA"/>
        </w:rPr>
        <w:t xml:space="preserve"> </w:t>
      </w:r>
      <w:r>
        <w:rPr>
          <w:rFonts w:hint="eastAsia" w:ascii="黑体" w:hAnsi="黑体" w:eastAsia="黑体" w:cs="黑体"/>
          <w:snapToGrid w:val="0"/>
          <w:color w:val="000000"/>
          <w:spacing w:val="-28"/>
          <w:kern w:val="0"/>
          <w:sz w:val="47"/>
          <w:szCs w:val="47"/>
          <w:lang w:val="en-US" w:eastAsia="zh-CN" w:bidi="ar-SA"/>
        </w:rPr>
        <w:t xml:space="preserve">   </w:t>
      </w:r>
      <w:r>
        <w:rPr>
          <w:rFonts w:ascii="黑体" w:hAnsi="黑体" w:eastAsia="黑体" w:cs="黑体"/>
          <w:snapToGrid w:val="0"/>
          <w:color w:val="000000"/>
          <w:spacing w:val="-28"/>
          <w:kern w:val="0"/>
          <w:sz w:val="47"/>
          <w:szCs w:val="47"/>
          <w:lang w:val="en-US" w:eastAsia="en-US" w:bidi="ar-SA"/>
        </w:rPr>
        <w:t xml:space="preserve"> </w:t>
      </w:r>
      <w:r>
        <w:rPr>
          <w:rFonts w:ascii="黑体" w:hAnsi="黑体" w:eastAsia="黑体" w:cs="黑体"/>
          <w:snapToGrid w:val="0"/>
          <w:color w:val="000000"/>
          <w:spacing w:val="-20"/>
          <w:kern w:val="0"/>
          <w:sz w:val="47"/>
          <w:szCs w:val="47"/>
          <w:lang w:val="en-US" w:eastAsia="en-US" w:bidi="ar-SA"/>
        </w:rPr>
        <w:t>标</w:t>
      </w:r>
      <w:r>
        <w:rPr>
          <w:rFonts w:hint="eastAsia" w:ascii="黑体" w:hAnsi="黑体" w:eastAsia="黑体" w:cs="黑体"/>
          <w:snapToGrid w:val="0"/>
          <w:color w:val="000000"/>
          <w:spacing w:val="-28"/>
          <w:kern w:val="0"/>
          <w:sz w:val="47"/>
          <w:szCs w:val="47"/>
          <w:lang w:val="en-US" w:eastAsia="zh-CN" w:bidi="ar-SA"/>
        </w:rPr>
        <w:t xml:space="preserve"> </w:t>
      </w:r>
      <w:r>
        <w:rPr>
          <w:rFonts w:ascii="黑体" w:hAnsi="黑体" w:eastAsia="黑体" w:cs="黑体"/>
          <w:snapToGrid w:val="0"/>
          <w:color w:val="000000"/>
          <w:spacing w:val="-28"/>
          <w:kern w:val="0"/>
          <w:sz w:val="47"/>
          <w:szCs w:val="47"/>
          <w:lang w:val="en-US" w:eastAsia="en-US" w:bidi="ar-SA"/>
        </w:rPr>
        <w:t xml:space="preserve"> </w:t>
      </w:r>
      <w:r>
        <w:rPr>
          <w:rFonts w:hint="eastAsia" w:ascii="黑体" w:hAnsi="黑体" w:eastAsia="黑体" w:cs="黑体"/>
          <w:snapToGrid w:val="0"/>
          <w:color w:val="000000"/>
          <w:spacing w:val="-28"/>
          <w:kern w:val="0"/>
          <w:sz w:val="47"/>
          <w:szCs w:val="47"/>
          <w:lang w:val="en-US" w:eastAsia="zh-CN" w:bidi="ar-SA"/>
        </w:rPr>
        <w:t xml:space="preserve">  </w:t>
      </w:r>
      <w:r>
        <w:rPr>
          <w:rFonts w:ascii="黑体" w:hAnsi="黑体" w:eastAsia="黑体" w:cs="黑体"/>
          <w:snapToGrid w:val="0"/>
          <w:color w:val="000000"/>
          <w:spacing w:val="-28"/>
          <w:kern w:val="0"/>
          <w:sz w:val="47"/>
          <w:szCs w:val="47"/>
          <w:lang w:val="en-US" w:eastAsia="en-US" w:bidi="ar-SA"/>
        </w:rPr>
        <w:t xml:space="preserve"> </w:t>
      </w:r>
      <w:r>
        <w:rPr>
          <w:rFonts w:ascii="黑体" w:hAnsi="黑体" w:eastAsia="黑体" w:cs="黑体"/>
          <w:snapToGrid w:val="0"/>
          <w:color w:val="000000"/>
          <w:spacing w:val="-20"/>
          <w:kern w:val="0"/>
          <w:sz w:val="47"/>
          <w:szCs w:val="47"/>
          <w:lang w:val="en-US" w:eastAsia="en-US" w:bidi="ar-SA"/>
        </w:rPr>
        <w:t>准</w:t>
      </w:r>
    </w:p>
    <w:p w14:paraId="26FA0357">
      <w:pPr>
        <w:widowControl/>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eastAsia="en-US"/>
        </w:rPr>
      </w:pPr>
    </w:p>
    <w:p w14:paraId="7C60B949">
      <w:pPr>
        <w:kinsoku w:val="0"/>
        <w:autoSpaceDE w:val="0"/>
        <w:autoSpaceDN w:val="0"/>
        <w:adjustRightInd w:val="0"/>
        <w:snapToGrid w:val="0"/>
        <w:spacing w:before="91" w:line="237" w:lineRule="auto"/>
        <w:ind w:left="4550"/>
        <w:jc w:val="left"/>
        <w:textAlignment w:val="baseline"/>
        <w:rPr>
          <w:rFonts w:ascii="黑体" w:hAnsi="黑体" w:eastAsia="黑体" w:cs="黑体"/>
          <w:snapToGrid w:val="0"/>
          <w:color w:val="000000"/>
          <w:kern w:val="0"/>
          <w:sz w:val="28"/>
          <w:szCs w:val="28"/>
          <w:lang w:val="en-US" w:eastAsia="en-US" w:bidi="ar-SA"/>
        </w:rPr>
      </w:pPr>
      <w:r>
        <w:rPr>
          <w:rFonts w:ascii="黑体" w:hAnsi="黑体" w:eastAsia="黑体" w:cs="黑体"/>
          <w:snapToGrid w:val="0"/>
          <w:color w:val="000000"/>
          <w:spacing w:val="-1"/>
          <w:kern w:val="0"/>
          <w:sz w:val="28"/>
          <w:szCs w:val="28"/>
          <w:lang w:val="en-US" w:eastAsia="en-US" w:bidi="ar-SA"/>
        </w:rPr>
        <w:t>T/XXX XXXX—XXXX</w:t>
      </w:r>
    </w:p>
    <w:p w14:paraId="7973A2CA">
      <w:pPr>
        <w:spacing w:line="237" w:lineRule="auto"/>
        <w:sectPr>
          <w:pgSz w:w="11906" w:h="16839"/>
          <w:pgMar w:top="461" w:right="820" w:bottom="0" w:left="1044" w:header="0" w:footer="0" w:gutter="0"/>
          <w:cols w:equalWidth="0" w:num="3">
            <w:col w:w="742" w:space="100"/>
            <w:col w:w="2008" w:space="100"/>
            <w:col w:w="7093"/>
          </w:cols>
        </w:sectPr>
      </w:pPr>
    </w:p>
    <w:p w14:paraId="2FBC507B">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14:paraId="1CAF9177">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14:paraId="4CFF4F39">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r>
        <w:rPr>
          <w:rFonts w:ascii="Arial" w:hAnsi="Arial" w:eastAsia="Arial" w:cs="Arial"/>
          <w:snapToGrid w:val="0"/>
          <w:color w:val="000000"/>
          <w:kern w:val="0"/>
          <w:szCs w:val="21"/>
          <w:lang w:eastAsia="en-US"/>
        </w:rPr>
        <w:drawing>
          <wp:anchor distT="0" distB="0" distL="0" distR="0" simplePos="0" relativeHeight="251659264" behindDoc="0" locked="0" layoutInCell="1" allowOverlap="1">
            <wp:simplePos x="0" y="0"/>
            <wp:positionH relativeFrom="column">
              <wp:posOffset>236855</wp:posOffset>
            </wp:positionH>
            <wp:positionV relativeFrom="paragraph">
              <wp:posOffset>66675</wp:posOffset>
            </wp:positionV>
            <wp:extent cx="6120130" cy="952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
                    <a:stretch>
                      <a:fillRect/>
                    </a:stretch>
                  </pic:blipFill>
                  <pic:spPr>
                    <a:xfrm>
                      <a:off x="0" y="0"/>
                      <a:ext cx="6120129" cy="9525"/>
                    </a:xfrm>
                    <a:prstGeom prst="rect">
                      <a:avLst/>
                    </a:prstGeom>
                  </pic:spPr>
                </pic:pic>
              </a:graphicData>
            </a:graphic>
          </wp:anchor>
        </w:drawing>
      </w:r>
    </w:p>
    <w:p w14:paraId="45072C8D">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6794B507">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3E462FD5">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6D8C70D2">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05DBDB5C">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3722E9A4">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348494F0">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57BEB3E4">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2D888383">
      <w:pPr>
        <w:kinsoku w:val="0"/>
        <w:autoSpaceDE w:val="0"/>
        <w:autoSpaceDN w:val="0"/>
        <w:adjustRightInd w:val="0"/>
        <w:snapToGrid w:val="0"/>
        <w:spacing w:before="169" w:line="221" w:lineRule="auto"/>
        <w:ind w:left="2866"/>
        <w:jc w:val="left"/>
        <w:textAlignment w:val="baseline"/>
        <w:rPr>
          <w:rFonts w:ascii="黑体" w:hAnsi="黑体" w:eastAsia="黑体" w:cs="黑体"/>
          <w:snapToGrid w:val="0"/>
          <w:color w:val="000000"/>
          <w:kern w:val="0"/>
          <w:sz w:val="52"/>
          <w:szCs w:val="52"/>
          <w:lang w:val="en-US" w:eastAsia="en-US" w:bidi="ar-SA"/>
        </w:rPr>
      </w:pPr>
      <w:r>
        <w:rPr>
          <w:rFonts w:ascii="黑体" w:hAnsi="黑体" w:eastAsia="黑体" w:cs="黑体"/>
          <w:snapToGrid w:val="0"/>
          <w:color w:val="000000"/>
          <w:spacing w:val="-2"/>
          <w:kern w:val="0"/>
          <w:sz w:val="52"/>
          <w:szCs w:val="52"/>
          <w:lang w:val="en-US" w:eastAsia="en-US" w:bidi="ar-SA"/>
        </w:rPr>
        <w:t>饲料原料  发酵柠条</w:t>
      </w:r>
    </w:p>
    <w:p w14:paraId="4CAE3281">
      <w:pPr>
        <w:widowControl/>
        <w:kinsoku w:val="0"/>
        <w:autoSpaceDE w:val="0"/>
        <w:autoSpaceDN w:val="0"/>
        <w:adjustRightInd w:val="0"/>
        <w:snapToGrid w:val="0"/>
        <w:spacing w:line="342" w:lineRule="auto"/>
        <w:jc w:val="left"/>
        <w:textAlignment w:val="baseline"/>
        <w:rPr>
          <w:rFonts w:ascii="Arial" w:hAnsi="Arial" w:eastAsia="Arial" w:cs="Arial"/>
          <w:snapToGrid w:val="0"/>
          <w:color w:val="000000"/>
          <w:kern w:val="0"/>
          <w:sz w:val="21"/>
          <w:szCs w:val="21"/>
          <w:lang w:eastAsia="en-US"/>
        </w:rPr>
      </w:pPr>
    </w:p>
    <w:p w14:paraId="13CB2CBA">
      <w:pPr>
        <w:widowControl/>
        <w:kinsoku w:val="0"/>
        <w:autoSpaceDE w:val="0"/>
        <w:autoSpaceDN w:val="0"/>
        <w:adjustRightInd w:val="0"/>
        <w:snapToGrid w:val="0"/>
        <w:spacing w:before="81" w:line="193" w:lineRule="auto"/>
        <w:ind w:left="3198"/>
        <w:jc w:val="lef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kern w:val="0"/>
          <w:sz w:val="28"/>
          <w:szCs w:val="28"/>
          <w:lang w:eastAsia="en-US"/>
        </w:rPr>
        <w:t>Feed material-Caragana korshi</w:t>
      </w:r>
      <w:r>
        <w:rPr>
          <w:rFonts w:ascii="Times New Roman" w:hAnsi="Times New Roman" w:eastAsia="Times New Roman" w:cs="Times New Roman"/>
          <w:snapToGrid w:val="0"/>
          <w:color w:val="000000"/>
          <w:spacing w:val="-1"/>
          <w:kern w:val="0"/>
          <w:sz w:val="28"/>
          <w:szCs w:val="28"/>
          <w:lang w:eastAsia="en-US"/>
        </w:rPr>
        <w:t>nskii</w:t>
      </w:r>
    </w:p>
    <w:p w14:paraId="4A45B631">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 w:val="21"/>
          <w:szCs w:val="21"/>
          <w:lang w:eastAsia="en-US"/>
        </w:rPr>
      </w:pPr>
    </w:p>
    <w:p w14:paraId="576CAE08">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 w:val="21"/>
          <w:szCs w:val="21"/>
          <w:lang w:eastAsia="en-US"/>
        </w:rPr>
      </w:pPr>
    </w:p>
    <w:p w14:paraId="0490D6A2">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14:paraId="496931A0">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14:paraId="6784E683">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14:paraId="627058A7">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14:paraId="3A256C88">
      <w:pPr>
        <w:widowControl/>
        <w:kinsoku w:val="0"/>
        <w:autoSpaceDE w:val="0"/>
        <w:autoSpaceDN w:val="0"/>
        <w:adjustRightInd w:val="0"/>
        <w:snapToGrid w:val="0"/>
        <w:spacing w:before="78" w:line="219" w:lineRule="auto"/>
        <w:ind w:left="4481"/>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草案版次选择</w:t>
      </w:r>
    </w:p>
    <w:p w14:paraId="244F5A5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7594A6F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67A0C30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36A466F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2593E78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03B00A5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3EEF86C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72CE1E7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09172A7C">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4B38F865">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72479222">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78903B10">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792959EB">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1AA803D1">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02F8638E">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36558694">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37F8E664">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2E3D88BF">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2CDC1A28">
      <w:pPr>
        <w:kinsoku w:val="0"/>
        <w:autoSpaceDE w:val="0"/>
        <w:autoSpaceDN w:val="0"/>
        <w:adjustRightInd w:val="0"/>
        <w:snapToGrid w:val="0"/>
        <w:spacing w:before="91" w:line="222" w:lineRule="auto"/>
        <w:jc w:val="right"/>
        <w:textAlignment w:val="baseline"/>
        <w:rPr>
          <w:rFonts w:ascii="黑体" w:hAnsi="黑体" w:eastAsia="黑体" w:cs="黑体"/>
          <w:snapToGrid w:val="0"/>
          <w:color w:val="000000"/>
          <w:kern w:val="0"/>
          <w:sz w:val="28"/>
          <w:szCs w:val="28"/>
          <w:lang w:val="en-US" w:eastAsia="en-US" w:bidi="ar-SA"/>
        </w:rPr>
      </w:pPr>
      <w:r>
        <w:rPr>
          <w:rFonts w:ascii="黑体" w:hAnsi="黑体" w:eastAsia="黑体" w:cs="黑体"/>
          <w:snapToGrid w:val="0"/>
          <w:color w:val="000000"/>
          <w:spacing w:val="-3"/>
          <w:kern w:val="0"/>
          <w:sz w:val="28"/>
          <w:szCs w:val="28"/>
          <w:lang w:val="en-US" w:eastAsia="en-US" w:bidi="ar-SA"/>
        </w:rPr>
        <w:t>XXXX</w:t>
      </w:r>
      <w:r>
        <w:rPr>
          <w:rFonts w:ascii="黑体" w:hAnsi="黑体" w:eastAsia="黑体" w:cs="黑体"/>
          <w:snapToGrid w:val="0"/>
          <w:color w:val="000000"/>
          <w:spacing w:val="-59"/>
          <w:kern w:val="0"/>
          <w:sz w:val="28"/>
          <w:szCs w:val="28"/>
          <w:lang w:val="en-US" w:eastAsia="en-US" w:bidi="ar-SA"/>
        </w:rPr>
        <w:t xml:space="preserve"> </w:t>
      </w:r>
      <w:r>
        <w:rPr>
          <w:rFonts w:ascii="黑体" w:hAnsi="黑体" w:eastAsia="黑体" w:cs="黑体"/>
          <w:snapToGrid w:val="0"/>
          <w:color w:val="000000"/>
          <w:spacing w:val="-3"/>
          <w:kern w:val="0"/>
          <w:sz w:val="28"/>
          <w:szCs w:val="28"/>
          <w:lang w:val="en-US" w:eastAsia="en-US" w:bidi="ar-SA"/>
        </w:rPr>
        <w:t>-</w:t>
      </w:r>
      <w:r>
        <w:rPr>
          <w:rFonts w:ascii="黑体" w:hAnsi="黑体" w:eastAsia="黑体" w:cs="黑体"/>
          <w:snapToGrid w:val="0"/>
          <w:color w:val="000000"/>
          <w:spacing w:val="-68"/>
          <w:kern w:val="0"/>
          <w:sz w:val="28"/>
          <w:szCs w:val="28"/>
          <w:lang w:val="en-US" w:eastAsia="en-US" w:bidi="ar-SA"/>
        </w:rPr>
        <w:t xml:space="preserve"> </w:t>
      </w:r>
      <w:r>
        <w:rPr>
          <w:rFonts w:ascii="黑体" w:hAnsi="黑体" w:eastAsia="黑体" w:cs="黑体"/>
          <w:snapToGrid w:val="0"/>
          <w:color w:val="000000"/>
          <w:spacing w:val="-3"/>
          <w:kern w:val="0"/>
          <w:sz w:val="28"/>
          <w:szCs w:val="28"/>
          <w:lang w:val="en-US" w:eastAsia="en-US" w:bidi="ar-SA"/>
        </w:rPr>
        <w:t>XX</w:t>
      </w:r>
      <w:r>
        <w:rPr>
          <w:rFonts w:ascii="黑体" w:hAnsi="黑体" w:eastAsia="黑体" w:cs="黑体"/>
          <w:snapToGrid w:val="0"/>
          <w:color w:val="000000"/>
          <w:spacing w:val="-66"/>
          <w:kern w:val="0"/>
          <w:sz w:val="28"/>
          <w:szCs w:val="28"/>
          <w:lang w:val="en-US" w:eastAsia="en-US" w:bidi="ar-SA"/>
        </w:rPr>
        <w:t xml:space="preserve"> </w:t>
      </w:r>
      <w:r>
        <w:rPr>
          <w:rFonts w:ascii="黑体" w:hAnsi="黑体" w:eastAsia="黑体" w:cs="黑体"/>
          <w:snapToGrid w:val="0"/>
          <w:color w:val="000000"/>
          <w:spacing w:val="-3"/>
          <w:kern w:val="0"/>
          <w:sz w:val="28"/>
          <w:szCs w:val="28"/>
          <w:lang w:val="en-US" w:eastAsia="en-US" w:bidi="ar-SA"/>
        </w:rPr>
        <w:t>-</w:t>
      </w:r>
      <w:r>
        <w:rPr>
          <w:rFonts w:ascii="黑体" w:hAnsi="黑体" w:eastAsia="黑体" w:cs="黑体"/>
          <w:snapToGrid w:val="0"/>
          <w:color w:val="000000"/>
          <w:spacing w:val="-65"/>
          <w:kern w:val="0"/>
          <w:sz w:val="28"/>
          <w:szCs w:val="28"/>
          <w:lang w:val="en-US" w:eastAsia="en-US" w:bidi="ar-SA"/>
        </w:rPr>
        <w:t xml:space="preserve"> </w:t>
      </w:r>
      <w:r>
        <w:rPr>
          <w:rFonts w:ascii="黑体" w:hAnsi="黑体" w:eastAsia="黑体" w:cs="黑体"/>
          <w:snapToGrid w:val="0"/>
          <w:color w:val="000000"/>
          <w:spacing w:val="-3"/>
          <w:kern w:val="0"/>
          <w:sz w:val="28"/>
          <w:szCs w:val="28"/>
          <w:lang w:val="en-US" w:eastAsia="en-US" w:bidi="ar-SA"/>
        </w:rPr>
        <w:t>XX</w:t>
      </w:r>
      <w:r>
        <w:rPr>
          <w:rFonts w:ascii="黑体" w:hAnsi="黑体" w:eastAsia="黑体" w:cs="黑体"/>
          <w:snapToGrid w:val="0"/>
          <w:color w:val="000000"/>
          <w:spacing w:val="-58"/>
          <w:kern w:val="0"/>
          <w:sz w:val="28"/>
          <w:szCs w:val="28"/>
          <w:lang w:val="en-US" w:eastAsia="en-US" w:bidi="ar-SA"/>
        </w:rPr>
        <w:t xml:space="preserve"> </w:t>
      </w:r>
      <w:r>
        <w:rPr>
          <w:rFonts w:ascii="黑体" w:hAnsi="黑体" w:eastAsia="黑体" w:cs="黑体"/>
          <w:snapToGrid w:val="0"/>
          <w:color w:val="000000"/>
          <w:spacing w:val="-3"/>
          <w:kern w:val="0"/>
          <w:sz w:val="28"/>
          <w:szCs w:val="28"/>
          <w:lang w:val="en-US" w:eastAsia="en-US" w:bidi="ar-SA"/>
        </w:rPr>
        <w:t>发布</w:t>
      </w:r>
      <w:r>
        <w:rPr>
          <w:rFonts w:ascii="黑体" w:hAnsi="黑体" w:eastAsia="黑体" w:cs="黑体"/>
          <w:snapToGrid w:val="0"/>
          <w:color w:val="000000"/>
          <w:kern w:val="0"/>
          <w:sz w:val="28"/>
          <w:szCs w:val="28"/>
          <w:lang w:val="en-US" w:eastAsia="en-US" w:bidi="ar-SA"/>
        </w:rPr>
        <w:t xml:space="preserve">                                    </w:t>
      </w:r>
      <w:r>
        <w:rPr>
          <w:rFonts w:ascii="黑体" w:hAnsi="黑体" w:eastAsia="黑体" w:cs="黑体"/>
          <w:snapToGrid w:val="0"/>
          <w:color w:val="000000"/>
          <w:spacing w:val="-3"/>
          <w:kern w:val="0"/>
          <w:sz w:val="28"/>
          <w:szCs w:val="28"/>
          <w:lang w:val="en-US" w:eastAsia="en-US" w:bidi="ar-SA"/>
        </w:rPr>
        <w:t>XXXX</w:t>
      </w:r>
      <w:r>
        <w:rPr>
          <w:rFonts w:ascii="黑体" w:hAnsi="黑体" w:eastAsia="黑体" w:cs="黑体"/>
          <w:snapToGrid w:val="0"/>
          <w:color w:val="000000"/>
          <w:spacing w:val="-57"/>
          <w:kern w:val="0"/>
          <w:sz w:val="28"/>
          <w:szCs w:val="28"/>
          <w:lang w:val="en-US" w:eastAsia="en-US" w:bidi="ar-SA"/>
        </w:rPr>
        <w:t xml:space="preserve"> </w:t>
      </w:r>
      <w:r>
        <w:rPr>
          <w:rFonts w:ascii="黑体" w:hAnsi="黑体" w:eastAsia="黑体" w:cs="黑体"/>
          <w:snapToGrid w:val="0"/>
          <w:color w:val="000000"/>
          <w:spacing w:val="-3"/>
          <w:kern w:val="0"/>
          <w:sz w:val="28"/>
          <w:szCs w:val="28"/>
          <w:lang w:val="en-US" w:eastAsia="en-US" w:bidi="ar-SA"/>
        </w:rPr>
        <w:t>-</w:t>
      </w:r>
      <w:r>
        <w:rPr>
          <w:rFonts w:ascii="黑体" w:hAnsi="黑体" w:eastAsia="黑体" w:cs="黑体"/>
          <w:snapToGrid w:val="0"/>
          <w:color w:val="000000"/>
          <w:spacing w:val="-65"/>
          <w:kern w:val="0"/>
          <w:sz w:val="28"/>
          <w:szCs w:val="28"/>
          <w:lang w:val="en-US" w:eastAsia="en-US" w:bidi="ar-SA"/>
        </w:rPr>
        <w:t xml:space="preserve"> </w:t>
      </w:r>
      <w:r>
        <w:rPr>
          <w:rFonts w:ascii="黑体" w:hAnsi="黑体" w:eastAsia="黑体" w:cs="黑体"/>
          <w:snapToGrid w:val="0"/>
          <w:color w:val="000000"/>
          <w:spacing w:val="-3"/>
          <w:kern w:val="0"/>
          <w:sz w:val="28"/>
          <w:szCs w:val="28"/>
          <w:lang w:val="en-US" w:eastAsia="en-US" w:bidi="ar-SA"/>
        </w:rPr>
        <w:t>XX</w:t>
      </w:r>
      <w:r>
        <w:rPr>
          <w:rFonts w:ascii="黑体" w:hAnsi="黑体" w:eastAsia="黑体" w:cs="黑体"/>
          <w:snapToGrid w:val="0"/>
          <w:color w:val="000000"/>
          <w:spacing w:val="-66"/>
          <w:kern w:val="0"/>
          <w:sz w:val="28"/>
          <w:szCs w:val="28"/>
          <w:lang w:val="en-US" w:eastAsia="en-US" w:bidi="ar-SA"/>
        </w:rPr>
        <w:t xml:space="preserve"> </w:t>
      </w:r>
      <w:r>
        <w:rPr>
          <w:rFonts w:ascii="黑体" w:hAnsi="黑体" w:eastAsia="黑体" w:cs="黑体"/>
          <w:snapToGrid w:val="0"/>
          <w:color w:val="000000"/>
          <w:spacing w:val="-3"/>
          <w:kern w:val="0"/>
          <w:sz w:val="28"/>
          <w:szCs w:val="28"/>
          <w:lang w:val="en-US" w:eastAsia="en-US" w:bidi="ar-SA"/>
        </w:rPr>
        <w:t>-</w:t>
      </w:r>
      <w:r>
        <w:rPr>
          <w:rFonts w:ascii="黑体" w:hAnsi="黑体" w:eastAsia="黑体" w:cs="黑体"/>
          <w:snapToGrid w:val="0"/>
          <w:color w:val="000000"/>
          <w:spacing w:val="-67"/>
          <w:kern w:val="0"/>
          <w:sz w:val="28"/>
          <w:szCs w:val="28"/>
          <w:lang w:val="en-US" w:eastAsia="en-US" w:bidi="ar-SA"/>
        </w:rPr>
        <w:t xml:space="preserve"> </w:t>
      </w:r>
      <w:r>
        <w:rPr>
          <w:rFonts w:ascii="黑体" w:hAnsi="黑体" w:eastAsia="黑体" w:cs="黑体"/>
          <w:snapToGrid w:val="0"/>
          <w:color w:val="000000"/>
          <w:spacing w:val="-3"/>
          <w:kern w:val="0"/>
          <w:sz w:val="28"/>
          <w:szCs w:val="28"/>
          <w:lang w:val="en-US" w:eastAsia="en-US" w:bidi="ar-SA"/>
        </w:rPr>
        <w:t>XX</w:t>
      </w:r>
      <w:r>
        <w:rPr>
          <w:rFonts w:ascii="黑体" w:hAnsi="黑体" w:eastAsia="黑体" w:cs="黑体"/>
          <w:snapToGrid w:val="0"/>
          <w:color w:val="000000"/>
          <w:spacing w:val="-53"/>
          <w:kern w:val="0"/>
          <w:sz w:val="28"/>
          <w:szCs w:val="28"/>
          <w:lang w:val="en-US" w:eastAsia="en-US" w:bidi="ar-SA"/>
        </w:rPr>
        <w:t xml:space="preserve"> </w:t>
      </w:r>
      <w:r>
        <w:rPr>
          <w:rFonts w:ascii="黑体" w:hAnsi="黑体" w:eastAsia="黑体" w:cs="黑体"/>
          <w:snapToGrid w:val="0"/>
          <w:color w:val="000000"/>
          <w:spacing w:val="-3"/>
          <w:kern w:val="0"/>
          <w:sz w:val="28"/>
          <w:szCs w:val="28"/>
          <w:lang w:val="en-US" w:eastAsia="en-US" w:bidi="ar-SA"/>
        </w:rPr>
        <w:t>实施</w:t>
      </w:r>
    </w:p>
    <w:p w14:paraId="43226503">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r>
        <w:rPr>
          <w:rFonts w:ascii="Arial" w:hAnsi="Arial" w:eastAsia="Arial" w:cs="Arial"/>
          <w:snapToGrid w:val="0"/>
          <w:color w:val="000000"/>
          <w:kern w:val="0"/>
          <w:szCs w:val="21"/>
          <w:lang w:eastAsia="en-US"/>
        </w:rPr>
        <w:drawing>
          <wp:anchor distT="0" distB="0" distL="0" distR="0" simplePos="0" relativeHeight="251660288" behindDoc="0" locked="0" layoutInCell="1" allowOverlap="1">
            <wp:simplePos x="0" y="0"/>
            <wp:positionH relativeFrom="column">
              <wp:posOffset>236220</wp:posOffset>
            </wp:positionH>
            <wp:positionV relativeFrom="paragraph">
              <wp:posOffset>6985</wp:posOffset>
            </wp:positionV>
            <wp:extent cx="6120130" cy="952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
                    <a:stretch>
                      <a:fillRect/>
                    </a:stretch>
                  </pic:blipFill>
                  <pic:spPr>
                    <a:xfrm>
                      <a:off x="0" y="0"/>
                      <a:ext cx="6120129" cy="9525"/>
                    </a:xfrm>
                    <a:prstGeom prst="rect">
                      <a:avLst/>
                    </a:prstGeom>
                  </pic:spPr>
                </pic:pic>
              </a:graphicData>
            </a:graphic>
          </wp:anchor>
        </w:drawing>
      </w:r>
    </w:p>
    <w:p w14:paraId="54F3AE86">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eastAsia="en-US"/>
        </w:rPr>
      </w:pPr>
    </w:p>
    <w:p w14:paraId="034304AF">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eastAsia="en-US"/>
        </w:rPr>
      </w:pPr>
    </w:p>
    <w:p w14:paraId="2DD8F7E6">
      <w:pPr>
        <w:kinsoku w:val="0"/>
        <w:autoSpaceDE w:val="0"/>
        <w:autoSpaceDN w:val="0"/>
        <w:adjustRightInd w:val="0"/>
        <w:snapToGrid w:val="0"/>
        <w:spacing w:before="92" w:line="188" w:lineRule="auto"/>
        <w:ind w:left="1983"/>
        <w:jc w:val="left"/>
        <w:textAlignment w:val="baseline"/>
        <w:rPr>
          <w:rFonts w:ascii="黑体" w:hAnsi="黑体" w:eastAsia="黑体" w:cs="黑体"/>
          <w:snapToGrid w:val="0"/>
          <w:color w:val="000000"/>
          <w:kern w:val="0"/>
          <w:sz w:val="28"/>
          <w:szCs w:val="28"/>
          <w:lang w:val="en-US" w:eastAsia="en-US" w:bidi="ar-SA"/>
        </w:rPr>
      </w:pPr>
      <w:r>
        <w:rPr>
          <w:rFonts w:ascii="黑体" w:hAnsi="黑体" w:eastAsia="黑体" w:cs="黑体"/>
          <w:snapToGrid w:val="0"/>
          <w:color w:val="000000"/>
          <w:spacing w:val="-1"/>
          <w:kern w:val="0"/>
          <w:sz w:val="28"/>
          <w:szCs w:val="28"/>
          <w:lang w:val="en-US" w:eastAsia="en-US" w:bidi="ar-SA"/>
        </w:rPr>
        <w:t xml:space="preserve">内蒙古农牧业产业化龙头企业协会        </w:t>
      </w:r>
      <w:r>
        <w:rPr>
          <w:rFonts w:ascii="黑体" w:hAnsi="黑体" w:eastAsia="黑体" w:cs="黑体"/>
          <w:snapToGrid w:val="0"/>
          <w:color w:val="000000"/>
          <w:spacing w:val="-2"/>
          <w:kern w:val="0"/>
          <w:sz w:val="28"/>
          <w:szCs w:val="28"/>
          <w:lang w:val="en-US" w:eastAsia="en-US" w:bidi="ar-SA"/>
        </w:rPr>
        <w:t xml:space="preserve"> 发</w:t>
      </w:r>
      <w:r>
        <w:rPr>
          <w:rFonts w:ascii="黑体" w:hAnsi="黑体" w:eastAsia="黑体" w:cs="黑体"/>
          <w:snapToGrid w:val="0"/>
          <w:color w:val="000000"/>
          <w:spacing w:val="36"/>
          <w:kern w:val="0"/>
          <w:sz w:val="28"/>
          <w:szCs w:val="28"/>
          <w:lang w:val="en-US" w:eastAsia="en-US" w:bidi="ar-SA"/>
        </w:rPr>
        <w:t xml:space="preserve"> </w:t>
      </w:r>
      <w:r>
        <w:rPr>
          <w:rFonts w:ascii="黑体" w:hAnsi="黑体" w:eastAsia="黑体" w:cs="黑体"/>
          <w:snapToGrid w:val="0"/>
          <w:color w:val="000000"/>
          <w:spacing w:val="-2"/>
          <w:kern w:val="0"/>
          <w:sz w:val="28"/>
          <w:szCs w:val="28"/>
          <w:lang w:val="en-US" w:eastAsia="en-US" w:bidi="ar-SA"/>
        </w:rPr>
        <w:t>布</w:t>
      </w:r>
    </w:p>
    <w:p w14:paraId="7496D640">
      <w:pPr>
        <w:spacing w:line="188" w:lineRule="auto"/>
        <w:sectPr>
          <w:type w:val="continuous"/>
          <w:pgSz w:w="11906" w:h="16839"/>
          <w:pgMar w:top="461" w:right="820" w:bottom="0" w:left="1044" w:header="0" w:footer="0" w:gutter="0"/>
          <w:cols w:equalWidth="0" w:num="1">
            <w:col w:w="10042"/>
          </w:cols>
        </w:sectPr>
      </w:pPr>
    </w:p>
    <w:p w14:paraId="0993459E">
      <w:pPr>
        <w:pStyle w:val="8"/>
        <w:rPr>
          <w:rFonts w:ascii="Times New Roman" w:eastAsia="宋体"/>
        </w:rPr>
      </w:pPr>
      <w:r>
        <w:rPr>
          <w:rFonts w:hint="eastAsia" w:ascii="Times New Roman" w:eastAsia="宋体"/>
        </w:rPr>
        <w:t>前</w:t>
      </w:r>
      <w:bookmarkStart w:id="0" w:name="BKQY"/>
      <w:r>
        <w:rPr>
          <w:rFonts w:ascii="Times New Roman" w:eastAsia="宋体"/>
        </w:rPr>
        <w:t>  </w:t>
      </w:r>
      <w:r>
        <w:rPr>
          <w:rFonts w:hint="eastAsia" w:ascii="Times New Roman" w:eastAsia="宋体"/>
        </w:rPr>
        <w:t>言</w:t>
      </w:r>
      <w:bookmarkEnd w:id="0"/>
    </w:p>
    <w:p w14:paraId="558B827E">
      <w:pPr>
        <w:pStyle w:val="9"/>
        <w:rPr>
          <w:rFonts w:ascii="Times New Roman" w:cs="宋体"/>
        </w:rPr>
      </w:pPr>
      <w:r>
        <w:rPr>
          <w:rFonts w:hint="eastAsia" w:ascii="Times New Roman" w:cs="宋体"/>
        </w:rPr>
        <w:t>按照</w:t>
      </w:r>
      <w:r>
        <w:rPr>
          <w:rFonts w:ascii="Times New Roman" w:cs="宋体"/>
        </w:rPr>
        <w:t>GB/T 1.1</w:t>
      </w:r>
      <w:r>
        <w:rPr>
          <w:rFonts w:hint="eastAsia" w:ascii="Times New Roman" w:cs="宋体"/>
        </w:rPr>
        <w:t>—</w:t>
      </w:r>
      <w:r>
        <w:rPr>
          <w:rFonts w:ascii="Times New Roman" w:cs="宋体"/>
        </w:rPr>
        <w:t>20</w:t>
      </w:r>
      <w:r>
        <w:rPr>
          <w:rFonts w:hint="eastAsia" w:ascii="Times New Roman" w:cs="宋体"/>
        </w:rPr>
        <w:t>20《标准化工作导则第1部分：标准化文件的结构和起草规则》的规定起草。</w:t>
      </w:r>
    </w:p>
    <w:p w14:paraId="647C1196">
      <w:pPr>
        <w:pStyle w:val="9"/>
        <w:rPr>
          <w:rFonts w:ascii="Times New Roman" w:cs="宋体"/>
        </w:rPr>
      </w:pPr>
      <w:r>
        <w:rPr>
          <w:rFonts w:hint="eastAsia"/>
          <w:szCs w:val="21"/>
        </w:rPr>
        <w:t>请注意本文件的某些内容可能涉及专利。本文件的发布机构不承担识别这些专利的责任。</w:t>
      </w:r>
    </w:p>
    <w:p w14:paraId="1AD48247">
      <w:pPr>
        <w:pStyle w:val="17"/>
        <w:ind w:firstLine="420"/>
        <w:rPr>
          <w:rFonts w:hint="eastAsia"/>
        </w:rPr>
      </w:pPr>
      <w:r>
        <w:rPr>
          <w:rFonts w:hint="eastAsia"/>
        </w:rPr>
        <w:t>本文件由</w:t>
      </w:r>
      <w:r>
        <w:rPr>
          <w:rFonts w:hint="eastAsia"/>
          <w:lang w:val="en-US" w:eastAsia="zh-CN"/>
        </w:rPr>
        <w:t>内蒙古农业大学</w:t>
      </w:r>
      <w:r>
        <w:rPr>
          <w:rFonts w:hint="eastAsia"/>
        </w:rPr>
        <w:t>提出。</w:t>
      </w:r>
    </w:p>
    <w:p w14:paraId="4D9BEC2B">
      <w:pPr>
        <w:pStyle w:val="17"/>
        <w:ind w:firstLine="420"/>
        <w:rPr>
          <w:rFonts w:hint="eastAsia"/>
        </w:rPr>
      </w:pPr>
      <w:r>
        <w:rPr>
          <w:rFonts w:hint="eastAsia"/>
        </w:rPr>
        <w:t>本文件由内蒙古农牧业产业化龙头企业协会归口。</w:t>
      </w:r>
    </w:p>
    <w:p w14:paraId="725E39FB">
      <w:pPr>
        <w:pStyle w:val="17"/>
        <w:ind w:firstLine="420"/>
        <w:rPr>
          <w:rFonts w:hint="eastAsia"/>
        </w:rPr>
      </w:pPr>
      <w:r>
        <w:rPr>
          <w:rFonts w:hint="eastAsia"/>
        </w:rPr>
        <w:t>本文件起草单位：</w:t>
      </w:r>
      <w:r>
        <w:rPr>
          <w:rFonts w:hint="default" w:ascii="Times New Roman" w:hAnsi="Times New Roman" w:cs="Times New Roman"/>
          <w:highlight w:val="none"/>
        </w:rPr>
        <w:t>内蒙古农业大学</w:t>
      </w:r>
      <w:r>
        <w:rPr>
          <w:rFonts w:hint="eastAsia" w:ascii="Times New Roman" w:hAnsi="Times New Roman" w:cs="Times New Roman"/>
          <w:highlight w:val="none"/>
          <w:lang w:eastAsia="zh-CN"/>
        </w:rPr>
        <w:t>、</w:t>
      </w:r>
      <w:r>
        <w:rPr>
          <w:rFonts w:hint="default" w:ascii="Times New Roman" w:hAnsi="Times New Roman" w:cs="Times New Roman"/>
        </w:rPr>
        <w:t>杭锦旗林业和草原事业发展中心、</w:t>
      </w:r>
      <w:r>
        <w:rPr>
          <w:rFonts w:hint="eastAsia" w:ascii="Times New Roman" w:hAnsi="Times New Roman" w:cs="Times New Roman"/>
          <w:highlight w:val="none"/>
          <w:lang w:val="en-US" w:eastAsia="zh-CN"/>
        </w:rPr>
        <w:t>中国农业科学院草原研究所、</w:t>
      </w:r>
      <w:r>
        <w:rPr>
          <w:rFonts w:hint="default" w:ascii="Times New Roman" w:hAnsi="Times New Roman" w:cs="Times New Roman"/>
        </w:rPr>
        <w:t>杭锦旗乌力吉牧仁种养殖专业合作社</w:t>
      </w:r>
      <w:r>
        <w:rPr>
          <w:rFonts w:hint="eastAsia" w:ascii="Times New Roman" w:hAnsi="Times New Roman" w:cs="Times New Roman"/>
          <w:lang w:eastAsia="zh-CN"/>
        </w:rPr>
        <w:t>、国家粮食和物资储备局科学研究院</w:t>
      </w:r>
      <w:r>
        <w:rPr>
          <w:rFonts w:hint="eastAsia"/>
        </w:rPr>
        <w:t>。</w:t>
      </w:r>
    </w:p>
    <w:p w14:paraId="3610C561">
      <w:pPr>
        <w:pStyle w:val="17"/>
        <w:ind w:firstLine="420"/>
        <w:rPr>
          <w:rFonts w:hint="eastAsia" w:eastAsia="宋体"/>
          <w:lang w:eastAsia="zh-CN"/>
        </w:rPr>
      </w:pPr>
      <w:r>
        <w:rPr>
          <w:rFonts w:hint="eastAsia"/>
        </w:rPr>
        <w:t>本文件主要起草人：</w:t>
      </w:r>
      <w:r>
        <w:rPr>
          <w:rFonts w:hint="default" w:ascii="Times New Roman" w:hAnsi="Times New Roman" w:cs="Times New Roman"/>
        </w:rPr>
        <w:t>万永青</w:t>
      </w:r>
      <w:r>
        <w:rPr>
          <w:rFonts w:hint="eastAsia" w:ascii="Times New Roman" w:hAnsi="Times New Roman" w:cs="Times New Roman"/>
          <w:lang w:eastAsia="zh-CN"/>
        </w:rPr>
        <w:t>、</w:t>
      </w:r>
      <w:r>
        <w:rPr>
          <w:rFonts w:hint="default" w:ascii="Times New Roman" w:hAnsi="Times New Roman" w:cs="Times New Roman"/>
        </w:rPr>
        <w:t>李国庆</w:t>
      </w:r>
      <w:r>
        <w:rPr>
          <w:rFonts w:hint="eastAsia" w:ascii="Times New Roman" w:hAnsi="Times New Roman" w:cs="Times New Roman"/>
          <w:lang w:eastAsia="zh-CN"/>
        </w:rPr>
        <w:t>、</w:t>
      </w:r>
      <w:r>
        <w:rPr>
          <w:rFonts w:hint="eastAsia" w:ascii="Times New Roman" w:hAnsi="Times New Roman" w:cs="Times New Roman"/>
          <w:lang w:val="en-US" w:eastAsia="zh-CN"/>
        </w:rPr>
        <w:t>田兴华、翟昊</w:t>
      </w:r>
      <w:r>
        <w:rPr>
          <w:rFonts w:hint="eastAsia" w:ascii="Times New Roman" w:hAnsi="Times New Roman" w:cs="Times New Roman"/>
          <w:lang w:eastAsia="zh-CN"/>
        </w:rPr>
        <w:t>、</w:t>
      </w:r>
      <w:r>
        <w:rPr>
          <w:rFonts w:hint="eastAsia" w:ascii="Times New Roman" w:hAnsi="Times New Roman" w:cs="Times New Roman"/>
          <w:lang w:val="en-US" w:eastAsia="zh-CN"/>
        </w:rPr>
        <w:t>郜晋楠、孙明宇、</w:t>
      </w:r>
      <w:r>
        <w:rPr>
          <w:rFonts w:hint="default" w:ascii="Times New Roman" w:hAnsi="Times New Roman" w:cs="Times New Roman"/>
        </w:rPr>
        <w:t>万东莉</w:t>
      </w:r>
      <w:r>
        <w:rPr>
          <w:rFonts w:hint="eastAsia" w:ascii="Times New Roman" w:hAnsi="Times New Roman" w:cs="Times New Roman"/>
          <w:lang w:eastAsia="zh-CN"/>
        </w:rPr>
        <w:t>、</w:t>
      </w:r>
      <w:r>
        <w:rPr>
          <w:rFonts w:hint="default" w:ascii="Times New Roman" w:hAnsi="Times New Roman" w:cs="Times New Roman"/>
        </w:rPr>
        <w:t>李振中</w:t>
      </w:r>
      <w:r>
        <w:rPr>
          <w:rFonts w:hint="eastAsia" w:ascii="Times New Roman" w:hAnsi="Times New Roman" w:cs="Times New Roman"/>
          <w:lang w:val="en-US" w:eastAsia="zh-CN"/>
        </w:rPr>
        <w:t>、</w:t>
      </w:r>
      <w:r>
        <w:rPr>
          <w:rFonts w:hint="default" w:ascii="Times New Roman" w:hAnsi="Times New Roman" w:cs="Times New Roman"/>
        </w:rPr>
        <w:t>杨金耀</w:t>
      </w:r>
      <w:r>
        <w:rPr>
          <w:rFonts w:hint="eastAsia" w:ascii="Times New Roman" w:hAnsi="Times New Roman" w:cs="Times New Roman"/>
          <w:lang w:eastAsia="zh-CN"/>
        </w:rPr>
        <w:t>、</w:t>
      </w:r>
      <w:r>
        <w:rPr>
          <w:rFonts w:hint="eastAsia" w:ascii="Times New Roman" w:cs="Times New Roman"/>
          <w:lang w:val="en-US" w:eastAsia="zh-CN"/>
        </w:rPr>
        <w:t>孟光军、马旭、</w:t>
      </w:r>
      <w:r>
        <w:rPr>
          <w:rFonts w:hint="eastAsia" w:ascii="Times New Roman" w:hAnsi="Times New Roman" w:cs="Times New Roman"/>
          <w:lang w:val="en-US" w:eastAsia="zh-CN"/>
        </w:rPr>
        <w:t>王丽</w:t>
      </w:r>
      <w:r>
        <w:rPr>
          <w:rFonts w:hint="eastAsia" w:ascii="Times New Roman" w:hAnsi="Times New Roman" w:cs="Times New Roman"/>
          <w:lang w:eastAsia="zh-CN"/>
        </w:rPr>
        <w:t>、</w:t>
      </w:r>
      <w:r>
        <w:rPr>
          <w:rFonts w:hint="eastAsia" w:ascii="Times New Roman" w:hAnsi="Times New Roman" w:cs="Times New Roman"/>
          <w:lang w:val="en-US" w:eastAsia="zh-CN"/>
        </w:rPr>
        <w:t>张晶、王瑞刚、张超群、孙彦楠</w:t>
      </w:r>
      <w:r>
        <w:rPr>
          <w:rFonts w:hint="eastAsia"/>
          <w:lang w:eastAsia="zh-CN"/>
        </w:rPr>
        <w:t>。</w:t>
      </w:r>
    </w:p>
    <w:p w14:paraId="431B5E5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highlight w:val="none"/>
        </w:rPr>
      </w:pPr>
    </w:p>
    <w:p w14:paraId="498605D2">
      <w:pPr>
        <w:pStyle w:val="9"/>
        <w:rPr>
          <w:rFonts w:hint="eastAsia" w:ascii="Times New Roman" w:cs="宋体"/>
        </w:rPr>
      </w:pPr>
    </w:p>
    <w:p w14:paraId="7AEF3AA7">
      <w:pPr>
        <w:pStyle w:val="9"/>
        <w:rPr>
          <w:rFonts w:hint="eastAsia" w:ascii="Times New Roman" w:cs="宋体"/>
        </w:rPr>
      </w:pPr>
    </w:p>
    <w:p w14:paraId="66916FDD">
      <w:pPr>
        <w:pStyle w:val="9"/>
        <w:rPr>
          <w:rFonts w:hint="eastAsia" w:ascii="Times New Roman" w:cs="宋体"/>
        </w:rPr>
      </w:pPr>
    </w:p>
    <w:p w14:paraId="184E73C0">
      <w:pPr>
        <w:pStyle w:val="9"/>
        <w:rPr>
          <w:rFonts w:hint="eastAsia" w:ascii="Times New Roman" w:cs="宋体"/>
        </w:rPr>
      </w:pPr>
    </w:p>
    <w:p w14:paraId="7E9A46ED">
      <w:pPr>
        <w:pStyle w:val="9"/>
        <w:rPr>
          <w:rFonts w:hint="eastAsia" w:ascii="Times New Roman" w:cs="宋体"/>
        </w:rPr>
      </w:pPr>
    </w:p>
    <w:p w14:paraId="0136D451">
      <w:pPr>
        <w:pStyle w:val="9"/>
        <w:rPr>
          <w:rFonts w:hint="eastAsia" w:ascii="Times New Roman" w:cs="宋体"/>
        </w:rPr>
      </w:pPr>
    </w:p>
    <w:p w14:paraId="0E287021">
      <w:pPr>
        <w:pStyle w:val="9"/>
        <w:rPr>
          <w:rFonts w:hint="eastAsia" w:ascii="Times New Roman" w:cs="宋体"/>
        </w:rPr>
      </w:pPr>
    </w:p>
    <w:p w14:paraId="05D8769D">
      <w:pPr>
        <w:pStyle w:val="9"/>
        <w:rPr>
          <w:rFonts w:hint="eastAsia" w:ascii="Times New Roman" w:cs="宋体"/>
        </w:rPr>
      </w:pPr>
    </w:p>
    <w:p w14:paraId="29891FEA">
      <w:pPr>
        <w:pStyle w:val="9"/>
        <w:rPr>
          <w:rFonts w:hint="eastAsia" w:ascii="Times New Roman" w:cs="宋体"/>
        </w:rPr>
        <w:sectPr>
          <w:pgSz w:w="11906" w:h="16838"/>
          <w:pgMar w:top="567" w:right="1134" w:bottom="1134" w:left="1418" w:header="1418" w:footer="1134" w:gutter="0"/>
          <w:pgBorders>
            <w:top w:val="none" w:sz="0" w:space="0"/>
            <w:left w:val="none" w:sz="0" w:space="0"/>
            <w:bottom w:val="none" w:sz="0" w:space="0"/>
            <w:right w:val="none" w:sz="0" w:space="0"/>
          </w:pgBorders>
          <w:pgNumType w:fmt="upperRoman" w:start="1"/>
          <w:cols w:space="425" w:num="1"/>
          <w:formProt w:val="0"/>
          <w:docGrid w:type="lines" w:linePitch="312" w:charSpace="0"/>
        </w:sectPr>
      </w:pPr>
    </w:p>
    <w:p w14:paraId="15465EE6">
      <w:pPr>
        <w:pStyle w:val="10"/>
        <w:spacing w:before="600"/>
        <w:rPr>
          <w:rFonts w:hint="eastAsia" w:eastAsia="黑体"/>
          <w:lang w:val="en-US" w:eastAsia="zh-CN"/>
        </w:rPr>
      </w:pPr>
      <w:r>
        <w:rPr>
          <w:rFonts w:hint="eastAsia"/>
        </w:rPr>
        <w:t xml:space="preserve">饲料原料 </w:t>
      </w:r>
      <w:r>
        <w:rPr>
          <w:rFonts w:hint="eastAsia"/>
          <w:lang w:val="en-US" w:eastAsia="zh-CN"/>
        </w:rPr>
        <w:t>发酵柠条</w:t>
      </w:r>
    </w:p>
    <w:p w14:paraId="719E060C">
      <w:pPr>
        <w:pStyle w:val="11"/>
        <w:keepNext w:val="0"/>
        <w:keepLines w:val="0"/>
        <w:pageBreakBefore w:val="0"/>
        <w:widowControl/>
        <w:kinsoku/>
        <w:wordWrap/>
        <w:overflowPunct/>
        <w:topLinePunct w:val="0"/>
        <w:autoSpaceDE/>
        <w:autoSpaceDN/>
        <w:bidi w:val="0"/>
        <w:adjustRightInd/>
        <w:snapToGrid/>
        <w:spacing w:before="157" w:beforeLines="50" w:after="157" w:afterLines="50"/>
        <w:ind w:left="0"/>
        <w:textAlignment w:val="auto"/>
        <w:rPr>
          <w:rFonts w:hint="eastAsia" w:ascii="宋体" w:hAnsi="宋体" w:eastAsia="宋体" w:cs="宋体"/>
          <w:bCs/>
        </w:rPr>
      </w:pPr>
      <w:r>
        <w:rPr>
          <w:rFonts w:hint="eastAsia" w:ascii="宋体" w:hAnsi="宋体" w:eastAsia="宋体" w:cs="宋体"/>
          <w:bCs/>
        </w:rPr>
        <w:t>范围</w:t>
      </w:r>
    </w:p>
    <w:p w14:paraId="56EF929B">
      <w:pPr>
        <w:pStyle w:val="9"/>
        <w:keepNext w:val="0"/>
        <w:keepLines w:val="0"/>
        <w:pageBreakBefore w:val="0"/>
        <w:kinsoku/>
        <w:overflowPunct/>
        <w:topLinePunct w:val="0"/>
        <w:bidi w:val="0"/>
        <w:adjustRightInd/>
        <w:snapToGrid/>
        <w:ind w:firstLine="424" w:firstLineChars="202"/>
        <w:textAlignment w:val="auto"/>
        <w:rPr>
          <w:rFonts w:hint="eastAsia" w:ascii="宋体" w:hAnsi="宋体" w:eastAsia="宋体" w:cs="宋体"/>
          <w:color w:val="000000"/>
        </w:rPr>
      </w:pPr>
      <w:r>
        <w:rPr>
          <w:rFonts w:hint="eastAsia" w:ascii="宋体" w:hAnsi="宋体" w:eastAsia="宋体" w:cs="宋体"/>
          <w:color w:val="000000"/>
        </w:rPr>
        <w:t>本文件规定了</w:t>
      </w:r>
      <w:r>
        <w:rPr>
          <w:rFonts w:hint="eastAsia" w:hAnsi="宋体" w:cs="宋体"/>
          <w:color w:val="000000"/>
          <w:lang w:val="en-US" w:eastAsia="zh-CN"/>
        </w:rPr>
        <w:t>发酵柠条</w:t>
      </w:r>
      <w:r>
        <w:rPr>
          <w:rFonts w:hint="eastAsia" w:ascii="宋体" w:hAnsi="宋体" w:eastAsia="宋体" w:cs="宋体"/>
          <w:color w:val="000000"/>
        </w:rPr>
        <w:t>取样、检验规则、标签、包装、运输、贮存和保质期</w:t>
      </w:r>
      <w:r>
        <w:rPr>
          <w:rFonts w:hint="eastAsia" w:hAnsi="宋体" w:cs="宋体"/>
          <w:color w:val="000000"/>
          <w:lang w:val="en-US" w:eastAsia="zh-CN"/>
        </w:rPr>
        <w:t>要求</w:t>
      </w:r>
      <w:r>
        <w:rPr>
          <w:rFonts w:hint="eastAsia" w:ascii="宋体" w:hAnsi="宋体" w:eastAsia="宋体" w:cs="宋体"/>
          <w:color w:val="000000"/>
        </w:rPr>
        <w:t>，</w:t>
      </w:r>
      <w:r>
        <w:rPr>
          <w:rFonts w:hint="eastAsia" w:ascii="宋体" w:hAnsi="宋体" w:eastAsia="宋体" w:cs="宋体"/>
        </w:rPr>
        <w:t>描述了</w:t>
      </w:r>
      <w:r>
        <w:rPr>
          <w:rFonts w:hint="eastAsia" w:hAnsi="宋体" w:cs="宋体"/>
          <w:lang w:val="en-US" w:eastAsia="zh-CN"/>
        </w:rPr>
        <w:t>对应的证实</w:t>
      </w:r>
      <w:r>
        <w:rPr>
          <w:rFonts w:hint="eastAsia" w:ascii="宋体" w:hAnsi="宋体" w:eastAsia="宋体" w:cs="宋体"/>
        </w:rPr>
        <w:t>方法。</w:t>
      </w:r>
    </w:p>
    <w:p w14:paraId="32D546F1">
      <w:pPr>
        <w:pStyle w:val="9"/>
        <w:keepNext w:val="0"/>
        <w:keepLines w:val="0"/>
        <w:pageBreakBefore w:val="0"/>
        <w:kinsoku/>
        <w:overflowPunct/>
        <w:topLinePunct w:val="0"/>
        <w:bidi w:val="0"/>
        <w:adjustRightInd/>
        <w:snapToGrid/>
        <w:ind w:firstLine="420" w:firstLineChars="200"/>
        <w:textAlignment w:val="auto"/>
        <w:rPr>
          <w:rFonts w:hint="eastAsia" w:ascii="宋体" w:hAnsi="宋体" w:eastAsia="宋体" w:cs="宋体"/>
          <w:color w:val="000000"/>
          <w:shd w:val="clear" w:color="auto" w:fill="auto"/>
          <w:lang w:val="en-US" w:eastAsia="zh-CN"/>
        </w:rPr>
      </w:pPr>
      <w:r>
        <w:rPr>
          <w:rFonts w:hint="eastAsia" w:ascii="宋体" w:hAnsi="宋体" w:eastAsia="宋体" w:cs="宋体"/>
          <w:shd w:val="clear" w:color="auto" w:fill="auto"/>
        </w:rPr>
        <w:t>本文件适用于以</w:t>
      </w:r>
      <w:r>
        <w:rPr>
          <w:rFonts w:hint="eastAsia" w:ascii="宋体" w:hAnsi="宋体" w:eastAsia="宋体" w:cs="宋体"/>
          <w:shd w:val="clear" w:color="auto" w:fill="auto"/>
          <w:lang w:val="en-US" w:eastAsia="zh-CN"/>
        </w:rPr>
        <w:t>柠条</w:t>
      </w:r>
      <w:r>
        <w:rPr>
          <w:rFonts w:hint="eastAsia" w:ascii="宋体" w:hAnsi="宋体" w:eastAsia="宋体" w:cs="宋体"/>
          <w:shd w:val="clear" w:color="auto" w:fill="auto"/>
        </w:rPr>
        <w:t>为主要原料（</w:t>
      </w:r>
      <w:r>
        <w:rPr>
          <w:rFonts w:hint="eastAsia" w:hAnsi="宋体" w:cs="宋体"/>
          <w:shd w:val="clear" w:color="auto" w:fill="auto"/>
          <w:lang w:val="en-US" w:eastAsia="zh-CN"/>
        </w:rPr>
        <w:t>柠条占比大于等于</w:t>
      </w:r>
      <w:r>
        <w:rPr>
          <w:rFonts w:hint="eastAsia" w:ascii="宋体" w:hAnsi="宋体" w:eastAsia="宋体" w:cs="宋体"/>
          <w:shd w:val="clear" w:color="auto" w:fill="auto"/>
        </w:rPr>
        <w:t>95%），使用农业农村部《饲料添加剂目录》中批准使用的微生物菌种进行固态发酵，并经干燥制成的饲料原料发酵</w:t>
      </w:r>
      <w:r>
        <w:rPr>
          <w:rFonts w:hint="eastAsia" w:ascii="宋体" w:hAnsi="宋体" w:eastAsia="宋体" w:cs="宋体"/>
          <w:shd w:val="clear" w:color="auto" w:fill="auto"/>
          <w:lang w:val="en-US" w:eastAsia="zh-CN"/>
        </w:rPr>
        <w:t>柠条</w:t>
      </w:r>
      <w:r>
        <w:rPr>
          <w:rFonts w:hint="eastAsia" w:ascii="宋体" w:hAnsi="宋体" w:eastAsia="宋体" w:cs="宋体"/>
          <w:shd w:val="clear" w:color="auto" w:fill="auto"/>
        </w:rPr>
        <w:t>。</w:t>
      </w:r>
    </w:p>
    <w:p w14:paraId="2E7E122B">
      <w:pPr>
        <w:pStyle w:val="11"/>
        <w:keepNext w:val="0"/>
        <w:keepLines w:val="0"/>
        <w:pageBreakBefore w:val="0"/>
        <w:widowControl/>
        <w:kinsoku/>
        <w:wordWrap/>
        <w:overflowPunct/>
        <w:topLinePunct w:val="0"/>
        <w:autoSpaceDE/>
        <w:autoSpaceDN/>
        <w:bidi w:val="0"/>
        <w:adjustRightInd/>
        <w:snapToGrid/>
        <w:spacing w:before="157" w:beforeLines="50" w:after="157" w:afterLines="50"/>
        <w:ind w:left="0"/>
        <w:textAlignment w:val="auto"/>
        <w:rPr>
          <w:rFonts w:hint="eastAsia" w:ascii="宋体" w:hAnsi="宋体" w:eastAsia="宋体" w:cs="宋体"/>
          <w:bCs/>
        </w:rPr>
      </w:pPr>
      <w:r>
        <w:rPr>
          <w:rFonts w:hint="eastAsia" w:ascii="宋体" w:hAnsi="宋体" w:eastAsia="宋体" w:cs="宋体"/>
          <w:bCs/>
        </w:rPr>
        <w:t>规范性引用文件</w:t>
      </w:r>
    </w:p>
    <w:p w14:paraId="2C227F4C">
      <w:pPr>
        <w:pStyle w:val="9"/>
        <w:keepNext w:val="0"/>
        <w:keepLines w:val="0"/>
        <w:pageBreakBefore w:val="0"/>
        <w:kinsoku/>
        <w:overflowPunct/>
        <w:topLinePunct w:val="0"/>
        <w:bidi w:val="0"/>
        <w:adjustRightInd/>
        <w:snapToGrid/>
        <w:ind w:firstLine="424" w:firstLineChars="202"/>
        <w:textAlignment w:val="auto"/>
        <w:rPr>
          <w:rFonts w:hint="eastAsia" w:ascii="宋体" w:hAnsi="宋体" w:eastAsia="宋体" w:cs="宋体"/>
          <w:highlight w:val="none"/>
        </w:rPr>
      </w:pPr>
      <w:r>
        <w:rPr>
          <w:rFonts w:hint="eastAsia" w:ascii="宋体" w:hAnsi="宋体" w:eastAsia="宋体" w:cs="宋体"/>
        </w:rPr>
        <w:t>下列文件中的内容通过文中的规范性引用而构成本文件必不可少的条款。其中，注日期的引用文件，仅该日期对应的版本适用于本文件；不注日期的引用文件，其最新版本（包括所有</w:t>
      </w:r>
      <w:r>
        <w:rPr>
          <w:rFonts w:hint="eastAsia" w:ascii="宋体" w:hAnsi="宋体" w:eastAsia="宋体" w:cs="宋体"/>
          <w:highlight w:val="none"/>
        </w:rPr>
        <w:t>的修改单）适用于本文件。</w:t>
      </w:r>
    </w:p>
    <w:p w14:paraId="7C80769F">
      <w:pPr>
        <w:keepNext w:val="0"/>
        <w:keepLines w:val="0"/>
        <w:pageBreakBefore w:val="0"/>
        <w:kinsoku/>
        <w:wordWrap w:val="0"/>
        <w:overflowPunct/>
        <w:topLinePunct w:val="0"/>
        <w:bidi w:val="0"/>
        <w:adjustRightInd/>
        <w:snapToGrid/>
        <w:ind w:right="-90" w:rightChars="-43" w:firstLine="424" w:firstLineChars="202"/>
        <w:jc w:val="left"/>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 xml:space="preserve">GB/T 6432 </w:t>
      </w:r>
      <w:r>
        <w:rPr>
          <w:rFonts w:hint="default" w:ascii="Times New Roman" w:hAnsi="Times New Roman" w:cs="Times New Roman"/>
          <w:szCs w:val="21"/>
          <w:highlight w:val="none"/>
          <w:lang w:val="en-US" w:eastAsia="zh-CN"/>
        </w:rPr>
        <w:t>或</w:t>
      </w:r>
      <w:r>
        <w:rPr>
          <w:rFonts w:hint="default" w:ascii="Times New Roman" w:hAnsi="Times New Roman" w:eastAsia="宋体" w:cs="Times New Roman"/>
          <w:color w:val="000000" w:themeColor="text1"/>
          <w:highlight w:val="none"/>
          <w14:textFill>
            <w14:solidFill>
              <w14:schemeClr w14:val="tx1"/>
            </w14:solidFill>
          </w14:textFill>
        </w:rPr>
        <w:t>GB/T 18868</w:t>
      </w:r>
      <w:r>
        <w:rPr>
          <w:rFonts w:hint="default" w:ascii="Times New Roman" w:hAnsi="Times New Roman" w:eastAsia="宋体" w:cs="Times New Roman"/>
          <w:szCs w:val="21"/>
          <w:highlight w:val="none"/>
        </w:rPr>
        <w:t xml:space="preserve"> 饲料中粗蛋白的测定 凯氏定氮法</w:t>
      </w:r>
    </w:p>
    <w:p w14:paraId="5B4D378C">
      <w:pPr>
        <w:keepNext w:val="0"/>
        <w:keepLines w:val="0"/>
        <w:pageBreakBefore w:val="0"/>
        <w:kinsoku/>
        <w:wordWrap w:val="0"/>
        <w:overflowPunct/>
        <w:topLinePunct w:val="0"/>
        <w:bidi w:val="0"/>
        <w:adjustRightInd/>
        <w:snapToGrid/>
        <w:ind w:right="-90" w:rightChars="-43" w:firstLine="424" w:firstLineChars="202"/>
        <w:jc w:val="left"/>
        <w:textAlignment w:val="auto"/>
        <w:rPr>
          <w:rFonts w:hint="eastAsia" w:cs="Times New Roman"/>
          <w:szCs w:val="21"/>
          <w:highlight w:val="none"/>
          <w:lang w:val="en-US" w:eastAsia="zh-CN"/>
        </w:rPr>
      </w:pPr>
      <w:r>
        <w:rPr>
          <w:rFonts w:hint="default" w:ascii="Times New Roman" w:hAnsi="Times New Roman" w:eastAsia="宋体" w:cs="Times New Roman"/>
          <w:szCs w:val="21"/>
          <w:highlight w:val="none"/>
        </w:rPr>
        <w:t>GB/T 643</w:t>
      </w:r>
      <w:r>
        <w:rPr>
          <w:rFonts w:hint="eastAsia" w:cs="Times New Roman"/>
          <w:szCs w:val="21"/>
          <w:highlight w:val="none"/>
          <w:lang w:val="en-US" w:eastAsia="zh-CN"/>
        </w:rPr>
        <w:t>8 饲料中粗灰分的测定</w:t>
      </w:r>
    </w:p>
    <w:p w14:paraId="1E367FAF">
      <w:pPr>
        <w:keepNext w:val="0"/>
        <w:keepLines w:val="0"/>
        <w:pageBreakBefore w:val="0"/>
        <w:kinsoku/>
        <w:wordWrap w:val="0"/>
        <w:overflowPunct/>
        <w:topLinePunct w:val="0"/>
        <w:bidi w:val="0"/>
        <w:adjustRightInd/>
        <w:snapToGrid/>
        <w:ind w:right="-90" w:rightChars="-43" w:firstLine="424" w:firstLineChars="202"/>
        <w:jc w:val="left"/>
        <w:textAlignment w:val="auto"/>
        <w:rPr>
          <w:rFonts w:hint="default" w:ascii="Times New Roman" w:hAnsi="Times New Roman" w:eastAsia="宋体" w:cs="Times New Roman"/>
          <w:i w:val="0"/>
          <w:iCs w:val="0"/>
          <w:caps w:val="0"/>
          <w:color w:val="333333"/>
          <w:spacing w:val="0"/>
          <w:sz w:val="21"/>
          <w:szCs w:val="21"/>
          <w:highlight w:val="none"/>
          <w:shd w:val="clear" w:fill="FFFFFF"/>
          <w:lang w:val="en-US" w:eastAsia="zh-CN"/>
        </w:rPr>
      </w:pPr>
      <w:r>
        <w:rPr>
          <w:rFonts w:hint="default" w:ascii="Times New Roman" w:hAnsi="Times New Roman" w:eastAsia="宋体" w:cs="Times New Roman"/>
          <w:i w:val="0"/>
          <w:iCs w:val="0"/>
          <w:caps w:val="0"/>
          <w:color w:val="333333"/>
          <w:spacing w:val="0"/>
          <w:sz w:val="21"/>
          <w:szCs w:val="21"/>
          <w:highlight w:val="none"/>
          <w:shd w:val="clear" w:fill="FFFFFF"/>
          <w:lang w:val="en-US" w:eastAsia="zh-CN"/>
        </w:rPr>
        <w:t xml:space="preserve">GB/T </w:t>
      </w:r>
      <w:r>
        <w:rPr>
          <w:rFonts w:hint="eastAsia" w:ascii="Times New Roman" w:hAnsi="Times New Roman" w:eastAsia="宋体" w:cs="Times New Roman"/>
          <w:i w:val="0"/>
          <w:iCs w:val="0"/>
          <w:caps w:val="0"/>
          <w:color w:val="333333"/>
          <w:spacing w:val="0"/>
          <w:sz w:val="21"/>
          <w:szCs w:val="21"/>
          <w:highlight w:val="none"/>
          <w:shd w:val="clear" w:fill="FFFFFF"/>
          <w:lang w:val="en-US" w:eastAsia="zh-CN"/>
        </w:rPr>
        <w:t>20805-2006</w:t>
      </w:r>
      <w:r>
        <w:rPr>
          <w:rFonts w:hint="default" w:ascii="Times New Roman" w:hAnsi="Times New Roman" w:eastAsia="宋体" w:cs="Times New Roman"/>
          <w:i w:val="0"/>
          <w:iCs w:val="0"/>
          <w:caps w:val="0"/>
          <w:color w:val="333333"/>
          <w:spacing w:val="0"/>
          <w:sz w:val="21"/>
          <w:szCs w:val="21"/>
          <w:highlight w:val="none"/>
          <w:shd w:val="clear" w:fill="FFFFFF"/>
          <w:lang w:val="en-US" w:eastAsia="zh-CN"/>
        </w:rPr>
        <w:t xml:space="preserve"> 饲料中</w:t>
      </w:r>
      <w:r>
        <w:rPr>
          <w:rFonts w:hint="eastAsia" w:ascii="Times New Roman" w:hAnsi="Times New Roman" w:eastAsia="宋体" w:cs="Times New Roman"/>
          <w:i w:val="0"/>
          <w:iCs w:val="0"/>
          <w:caps w:val="0"/>
          <w:color w:val="333333"/>
          <w:spacing w:val="0"/>
          <w:sz w:val="21"/>
          <w:szCs w:val="21"/>
          <w:highlight w:val="none"/>
          <w:shd w:val="clear" w:fill="FFFFFF"/>
          <w:lang w:val="en-US" w:eastAsia="zh-CN"/>
        </w:rPr>
        <w:t>酸性洗涤木质素</w:t>
      </w:r>
      <w:r>
        <w:rPr>
          <w:rFonts w:hint="default" w:ascii="Times New Roman" w:hAnsi="Times New Roman" w:eastAsia="宋体" w:cs="Times New Roman"/>
          <w:i w:val="0"/>
          <w:iCs w:val="0"/>
          <w:caps w:val="0"/>
          <w:color w:val="333333"/>
          <w:spacing w:val="0"/>
          <w:sz w:val="21"/>
          <w:szCs w:val="21"/>
          <w:highlight w:val="none"/>
          <w:shd w:val="clear" w:fill="FFFFFF"/>
          <w:lang w:val="en-US" w:eastAsia="zh-CN"/>
        </w:rPr>
        <w:t>的含量测定</w:t>
      </w:r>
    </w:p>
    <w:p w14:paraId="66C962B5">
      <w:pPr>
        <w:keepNext w:val="0"/>
        <w:keepLines w:val="0"/>
        <w:pageBreakBefore w:val="0"/>
        <w:kinsoku/>
        <w:wordWrap w:val="0"/>
        <w:overflowPunct/>
        <w:topLinePunct w:val="0"/>
        <w:bidi w:val="0"/>
        <w:adjustRightInd/>
        <w:snapToGrid/>
        <w:ind w:right="-90" w:rightChars="-43" w:firstLine="424" w:firstLineChars="202"/>
        <w:jc w:val="left"/>
        <w:textAlignment w:val="auto"/>
        <w:rPr>
          <w:rFonts w:hint="eastAsia" w:ascii="Times New Roman" w:hAnsi="Times New Roman" w:eastAsia="宋体" w:cs="Times New Roman"/>
          <w:i w:val="0"/>
          <w:iCs w:val="0"/>
          <w:caps w:val="0"/>
          <w:color w:val="333333"/>
          <w:spacing w:val="0"/>
          <w:sz w:val="21"/>
          <w:szCs w:val="21"/>
          <w:highlight w:val="none"/>
          <w:shd w:val="clear" w:fill="FFFFFF"/>
          <w:lang w:val="en-US" w:eastAsia="zh-CN"/>
        </w:rPr>
      </w:pPr>
      <w:r>
        <w:rPr>
          <w:rFonts w:hint="default" w:ascii="Times New Roman" w:hAnsi="Times New Roman" w:eastAsia="宋体" w:cs="Times New Roman"/>
          <w:i w:val="0"/>
          <w:iCs w:val="0"/>
          <w:caps w:val="0"/>
          <w:color w:val="333333"/>
          <w:spacing w:val="0"/>
          <w:sz w:val="21"/>
          <w:szCs w:val="21"/>
          <w:highlight w:val="none"/>
          <w:shd w:val="clear" w:fill="FFFFFF"/>
          <w:lang w:val="en-US" w:eastAsia="zh-CN"/>
        </w:rPr>
        <w:t xml:space="preserve">GB/T </w:t>
      </w:r>
      <w:r>
        <w:rPr>
          <w:rFonts w:hint="eastAsia" w:ascii="Times New Roman" w:hAnsi="Times New Roman" w:eastAsia="宋体" w:cs="Times New Roman"/>
          <w:i w:val="0"/>
          <w:iCs w:val="0"/>
          <w:caps w:val="0"/>
          <w:color w:val="333333"/>
          <w:spacing w:val="0"/>
          <w:sz w:val="21"/>
          <w:szCs w:val="21"/>
          <w:highlight w:val="none"/>
          <w:shd w:val="clear" w:fill="FFFFFF"/>
          <w:lang w:val="en-US" w:eastAsia="zh-CN"/>
        </w:rPr>
        <w:t>20806-2022 饲料中中性洗涤纤维的测定</w:t>
      </w:r>
    </w:p>
    <w:p w14:paraId="066BD910">
      <w:pPr>
        <w:keepNext w:val="0"/>
        <w:keepLines w:val="0"/>
        <w:pageBreakBefore w:val="0"/>
        <w:kinsoku/>
        <w:wordWrap w:val="0"/>
        <w:overflowPunct/>
        <w:topLinePunct w:val="0"/>
        <w:bidi w:val="0"/>
        <w:adjustRightInd/>
        <w:snapToGrid/>
        <w:ind w:right="-90" w:rightChars="-43" w:firstLine="424" w:firstLineChars="202"/>
        <w:jc w:val="left"/>
        <w:textAlignment w:val="auto"/>
        <w:rPr>
          <w:rFonts w:hint="eastAsia" w:ascii="Times New Roman" w:hAnsi="Times New Roman" w:eastAsia="宋体" w:cs="Times New Roman"/>
          <w:i w:val="0"/>
          <w:iCs w:val="0"/>
          <w:caps w:val="0"/>
          <w:color w:val="333333"/>
          <w:spacing w:val="0"/>
          <w:sz w:val="21"/>
          <w:szCs w:val="21"/>
          <w:highlight w:val="none"/>
          <w:shd w:val="clear" w:fill="FFFFFF"/>
          <w:lang w:val="en-US" w:eastAsia="zh-CN"/>
        </w:rPr>
      </w:pPr>
      <w:r>
        <w:rPr>
          <w:rFonts w:hint="eastAsia" w:ascii="Times New Roman" w:hAnsi="Times New Roman" w:eastAsia="宋体" w:cs="Times New Roman"/>
          <w:i w:val="0"/>
          <w:iCs w:val="0"/>
          <w:caps w:val="0"/>
          <w:color w:val="333333"/>
          <w:spacing w:val="0"/>
          <w:sz w:val="21"/>
          <w:szCs w:val="21"/>
          <w:highlight w:val="none"/>
          <w:shd w:val="clear" w:fill="FFFFFF"/>
          <w:lang w:val="en-US" w:eastAsia="zh-CN"/>
        </w:rPr>
        <w:t>NY/T 1459-2007 饲料中酸性洗涤纤维的测定</w:t>
      </w:r>
    </w:p>
    <w:p w14:paraId="53ECEFC5">
      <w:pPr>
        <w:keepNext w:val="0"/>
        <w:keepLines w:val="0"/>
        <w:pageBreakBefore w:val="0"/>
        <w:kinsoku/>
        <w:wordWrap w:val="0"/>
        <w:overflowPunct/>
        <w:topLinePunct w:val="0"/>
        <w:bidi w:val="0"/>
        <w:adjustRightInd/>
        <w:snapToGrid/>
        <w:ind w:right="-90" w:rightChars="-43" w:firstLine="424" w:firstLineChars="202"/>
        <w:jc w:val="left"/>
        <w:textAlignment w:val="auto"/>
        <w:rPr>
          <w:rFonts w:hint="default" w:cs="Times New Roman"/>
          <w:szCs w:val="21"/>
          <w:highlight w:val="none"/>
          <w:lang w:val="en-US" w:eastAsia="zh-CN"/>
        </w:rPr>
      </w:pPr>
      <w:r>
        <w:rPr>
          <w:rFonts w:hint="eastAsia" w:ascii="Times New Roman" w:hAnsi="Times New Roman" w:eastAsia="宋体" w:cs="Times New Roman"/>
          <w:i w:val="0"/>
          <w:iCs w:val="0"/>
          <w:caps w:val="0"/>
          <w:color w:val="333333"/>
          <w:spacing w:val="0"/>
          <w:sz w:val="21"/>
          <w:szCs w:val="21"/>
          <w:highlight w:val="none"/>
          <w:shd w:val="clear" w:fill="FFFFFF"/>
          <w:lang w:val="en-US" w:eastAsia="zh-CN"/>
        </w:rPr>
        <w:t>T/HXCY 02302921可溶性碳水化合物的测定</w:t>
      </w:r>
    </w:p>
    <w:p w14:paraId="49AC553E">
      <w:pPr>
        <w:keepNext w:val="0"/>
        <w:keepLines w:val="0"/>
        <w:pageBreakBefore w:val="0"/>
        <w:kinsoku/>
        <w:wordWrap w:val="0"/>
        <w:overflowPunct/>
        <w:topLinePunct w:val="0"/>
        <w:bidi w:val="0"/>
        <w:adjustRightInd/>
        <w:snapToGrid/>
        <w:ind w:right="-90" w:rightChars="-43" w:firstLine="424" w:firstLineChars="202"/>
        <w:jc w:val="left"/>
        <w:textAlignment w:val="auto"/>
        <w:rPr>
          <w:rFonts w:hint="default" w:ascii="Times New Roman" w:hAnsi="Times New Roman" w:cs="Times New Roman"/>
          <w:szCs w:val="21"/>
          <w:highlight w:val="none"/>
          <w:lang w:val="en-US" w:eastAsia="zh-CN"/>
        </w:rPr>
      </w:pPr>
      <w:r>
        <w:rPr>
          <w:rFonts w:hint="default" w:ascii="Times New Roman" w:hAnsi="Times New Roman" w:eastAsia="宋体" w:cs="Times New Roman"/>
          <w:i w:val="0"/>
          <w:iCs w:val="0"/>
          <w:caps w:val="0"/>
          <w:color w:val="333333"/>
          <w:spacing w:val="0"/>
          <w:sz w:val="21"/>
          <w:szCs w:val="21"/>
          <w:highlight w:val="none"/>
          <w:shd w:val="clear" w:fill="FFFFFF"/>
        </w:rPr>
        <w:t>DB15/T 1458-2018</w:t>
      </w:r>
      <w:r>
        <w:rPr>
          <w:rFonts w:hint="default" w:ascii="Times New Roman" w:hAnsi="Times New Roman" w:cs="Times New Roman"/>
          <w:i w:val="0"/>
          <w:iCs w:val="0"/>
          <w:caps w:val="0"/>
          <w:color w:val="333333"/>
          <w:spacing w:val="0"/>
          <w:sz w:val="21"/>
          <w:szCs w:val="21"/>
          <w:highlight w:val="none"/>
          <w:shd w:val="clear" w:fill="FFFFFF"/>
          <w:lang w:val="en-US" w:eastAsia="zh-CN"/>
        </w:rPr>
        <w:t xml:space="preserve">  </w:t>
      </w:r>
      <w:r>
        <w:rPr>
          <w:rFonts w:hint="default" w:ascii="Times New Roman" w:hAnsi="Times New Roman" w:cs="Times New Roman"/>
          <w:szCs w:val="21"/>
          <w:highlight w:val="none"/>
          <w:lang w:val="en-US" w:eastAsia="zh-CN"/>
        </w:rPr>
        <w:t>pH值、氨态氮测定</w:t>
      </w:r>
    </w:p>
    <w:p w14:paraId="665457B2">
      <w:pPr>
        <w:keepNext w:val="0"/>
        <w:keepLines w:val="0"/>
        <w:pageBreakBefore w:val="0"/>
        <w:kinsoku/>
        <w:wordWrap w:val="0"/>
        <w:overflowPunct/>
        <w:topLinePunct w:val="0"/>
        <w:bidi w:val="0"/>
        <w:adjustRightInd/>
        <w:snapToGrid/>
        <w:ind w:right="-90" w:rightChars="-43" w:firstLine="424" w:firstLineChars="202"/>
        <w:jc w:val="left"/>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rPr>
        <w:t>GB/T</w:t>
      </w:r>
      <w:r>
        <w:rPr>
          <w:rFonts w:hint="default" w:ascii="Times New Roman" w:hAnsi="Times New Roman" w:eastAsia="宋体" w:cs="Times New Roman"/>
          <w:highlight w:val="none"/>
          <w:lang w:val="en-US" w:eastAsia="zh-CN"/>
        </w:rPr>
        <w:t xml:space="preserve"> </w:t>
      </w:r>
      <w:r>
        <w:rPr>
          <w:rFonts w:hint="default" w:ascii="Times New Roman" w:hAnsi="Times New Roman" w:cs="Times New Roman"/>
          <w:highlight w:val="none"/>
          <w:lang w:val="en-US" w:eastAsia="zh-CN"/>
        </w:rPr>
        <w:t>27985-2011</w:t>
      </w:r>
      <w:r>
        <w:rPr>
          <w:rFonts w:hint="default" w:ascii="Times New Roman" w:hAnsi="Times New Roman" w:eastAsia="宋体" w:cs="Times New Roman"/>
          <w:highlight w:val="none"/>
          <w:lang w:val="en-US" w:eastAsia="zh-CN"/>
        </w:rPr>
        <w:t xml:space="preserve">  单宁含量的测定</w:t>
      </w:r>
    </w:p>
    <w:p w14:paraId="0D6C156B">
      <w:pPr>
        <w:keepNext w:val="0"/>
        <w:keepLines w:val="0"/>
        <w:pageBreakBefore w:val="0"/>
        <w:kinsoku/>
        <w:wordWrap w:val="0"/>
        <w:overflowPunct/>
        <w:topLinePunct w:val="0"/>
        <w:bidi w:val="0"/>
        <w:adjustRightInd/>
        <w:snapToGrid/>
        <w:ind w:right="-90" w:rightChars="-43" w:firstLine="424" w:firstLineChars="202"/>
        <w:jc w:val="left"/>
        <w:textAlignment w:val="auto"/>
        <w:rPr>
          <w:rFonts w:hint="default" w:ascii="Times New Roman" w:hAnsi="Times New Roman" w:eastAsia="宋体" w:cs="Times New Roman"/>
          <w:highlight w:val="none"/>
          <w:lang w:val="en-US" w:eastAsia="zh-CN"/>
        </w:rPr>
      </w:pPr>
      <w:r>
        <w:rPr>
          <w:rFonts w:hint="default" w:ascii="Times New Roman" w:hAnsi="Times New Roman" w:cs="Times New Roman"/>
          <w:szCs w:val="21"/>
          <w:highlight w:val="none"/>
          <w:lang w:val="en-US" w:eastAsia="zh-CN"/>
        </w:rPr>
        <w:t>GB/T 6435 饲料中水分的测定</w:t>
      </w:r>
    </w:p>
    <w:p w14:paraId="101F4182">
      <w:pPr>
        <w:keepNext w:val="0"/>
        <w:keepLines w:val="0"/>
        <w:pageBreakBefore w:val="0"/>
        <w:kinsoku/>
        <w:wordWrap w:val="0"/>
        <w:overflowPunct/>
        <w:topLinePunct w:val="0"/>
        <w:bidi w:val="0"/>
        <w:adjustRightInd/>
        <w:snapToGrid/>
        <w:ind w:right="-90" w:rightChars="-43" w:firstLine="424" w:firstLineChars="202"/>
        <w:jc w:val="left"/>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GB 10648  饲料标签</w:t>
      </w:r>
    </w:p>
    <w:p w14:paraId="0A7E1B95">
      <w:pPr>
        <w:keepNext w:val="0"/>
        <w:keepLines w:val="0"/>
        <w:pageBreakBefore w:val="0"/>
        <w:kinsoku/>
        <w:wordWrap w:val="0"/>
        <w:overflowPunct/>
        <w:topLinePunct w:val="0"/>
        <w:bidi w:val="0"/>
        <w:adjustRightInd/>
        <w:snapToGrid/>
        <w:ind w:right="-90" w:rightChars="-43" w:firstLine="424" w:firstLineChars="202"/>
        <w:jc w:val="left"/>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GB 13078  饲料卫生标准</w:t>
      </w:r>
    </w:p>
    <w:p w14:paraId="181C788A">
      <w:pPr>
        <w:keepNext w:val="0"/>
        <w:keepLines w:val="0"/>
        <w:pageBreakBefore w:val="0"/>
        <w:kinsoku/>
        <w:wordWrap w:val="0"/>
        <w:overflowPunct/>
        <w:topLinePunct w:val="0"/>
        <w:bidi w:val="0"/>
        <w:adjustRightInd/>
        <w:snapToGrid/>
        <w:ind w:right="-90" w:rightChars="-43" w:firstLine="424" w:firstLineChars="202"/>
        <w:jc w:val="left"/>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GB/T 14699  饲料 采样</w:t>
      </w:r>
    </w:p>
    <w:p w14:paraId="4F3DC265">
      <w:pPr>
        <w:keepNext w:val="0"/>
        <w:keepLines w:val="0"/>
        <w:pageBreakBefore w:val="0"/>
        <w:kinsoku/>
        <w:wordWrap w:val="0"/>
        <w:overflowPunct/>
        <w:topLinePunct w:val="0"/>
        <w:bidi w:val="0"/>
        <w:adjustRightInd/>
        <w:snapToGrid/>
        <w:ind w:right="-90" w:rightChars="-43" w:firstLine="424" w:firstLineChars="202"/>
        <w:jc w:val="left"/>
        <w:textAlignment w:val="auto"/>
        <w:rPr>
          <w:rFonts w:hint="default" w:ascii="Times New Roman" w:hAnsi="Times New Roman" w:cs="Times New Roman"/>
          <w:lang w:val="en-US" w:eastAsia="zh-CN"/>
        </w:rPr>
      </w:pPr>
      <w:r>
        <w:rPr>
          <w:rFonts w:hint="default" w:ascii="Times New Roman" w:hAnsi="Times New Roman" w:eastAsia="宋体" w:cs="Times New Roman"/>
          <w:highlight w:val="none"/>
        </w:rPr>
        <w:t>GB/T 8170</w:t>
      </w:r>
      <w:r>
        <w:rPr>
          <w:rFonts w:hint="default" w:ascii="Times New Roman" w:hAnsi="Times New Roman" w:cs="Times New Roman"/>
          <w:highlight w:val="none"/>
          <w:lang w:val="en-US" w:eastAsia="zh-CN"/>
        </w:rPr>
        <w:t>数值修约规则与极限数值的表</w:t>
      </w:r>
      <w:r>
        <w:rPr>
          <w:rFonts w:hint="default" w:ascii="Times New Roman" w:hAnsi="Times New Roman" w:cs="Times New Roman"/>
          <w:lang w:val="en-US" w:eastAsia="zh-CN"/>
        </w:rPr>
        <w:t>示和判定</w:t>
      </w:r>
    </w:p>
    <w:p w14:paraId="490F7E19">
      <w:pPr>
        <w:keepNext w:val="0"/>
        <w:keepLines w:val="0"/>
        <w:pageBreakBefore w:val="0"/>
        <w:kinsoku/>
        <w:wordWrap w:val="0"/>
        <w:overflowPunct/>
        <w:topLinePunct w:val="0"/>
        <w:bidi w:val="0"/>
        <w:adjustRightInd/>
        <w:snapToGrid/>
        <w:ind w:right="-90" w:rightChars="-43" w:firstLine="424" w:firstLineChars="202"/>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rPr>
        <w:t>GB/T 18823</w:t>
      </w:r>
      <w:r>
        <w:rPr>
          <w:rFonts w:hint="default" w:ascii="Times New Roman" w:hAnsi="Times New Roman" w:cs="Times New Roman"/>
          <w:lang w:val="en-US" w:eastAsia="zh-CN"/>
        </w:rPr>
        <w:t>饲料检测结果判定的允许误差</w:t>
      </w:r>
    </w:p>
    <w:p w14:paraId="5A8BD765">
      <w:pPr>
        <w:pStyle w:val="11"/>
        <w:keepNext w:val="0"/>
        <w:keepLines w:val="0"/>
        <w:pageBreakBefore w:val="0"/>
        <w:widowControl/>
        <w:kinsoku/>
        <w:wordWrap/>
        <w:overflowPunct/>
        <w:topLinePunct w:val="0"/>
        <w:autoSpaceDE/>
        <w:autoSpaceDN/>
        <w:bidi w:val="0"/>
        <w:adjustRightInd/>
        <w:snapToGrid/>
        <w:spacing w:before="157" w:beforeLines="50" w:after="157" w:afterLines="50"/>
        <w:ind w:left="0"/>
        <w:textAlignment w:val="auto"/>
        <w:rPr>
          <w:rFonts w:hint="eastAsia" w:ascii="宋体" w:hAnsi="宋体" w:eastAsia="宋体" w:cs="宋体"/>
          <w:bCs/>
        </w:rPr>
      </w:pPr>
      <w:r>
        <w:rPr>
          <w:rFonts w:hint="eastAsia" w:ascii="宋体" w:hAnsi="宋体" w:eastAsia="宋体" w:cs="宋体"/>
          <w:bCs/>
        </w:rPr>
        <w:t>术语和定义</w:t>
      </w:r>
    </w:p>
    <w:p w14:paraId="5BB3F048">
      <w:pPr>
        <w:pStyle w:val="9"/>
        <w:keepNext w:val="0"/>
        <w:keepLines w:val="0"/>
        <w:pageBreakBefore w:val="0"/>
        <w:widowControl/>
        <w:kinsoku/>
        <w:wordWrap/>
        <w:overflowPunct/>
        <w:topLinePunct w:val="0"/>
        <w:autoSpaceDE w:val="0"/>
        <w:autoSpaceDN w:val="0"/>
        <w:bidi w:val="0"/>
        <w:adjustRightInd/>
        <w:snapToGrid/>
        <w:spacing w:before="157" w:beforeLines="50" w:after="157" w:afterLines="50" w:line="240" w:lineRule="auto"/>
        <w:ind w:left="0" w:leftChars="0" w:firstLine="0" w:firstLineChars="0"/>
        <w:textAlignment w:val="auto"/>
        <w:rPr>
          <w:rFonts w:hint="eastAsia" w:ascii="宋体" w:hAnsi="宋体" w:eastAsia="宋体" w:cs="宋体"/>
          <w:i w:val="0"/>
          <w:iCs w:val="0"/>
          <w:caps w:val="0"/>
          <w:color w:val="1C1F23"/>
          <w:spacing w:val="0"/>
          <w:sz w:val="21"/>
          <w:szCs w:val="21"/>
          <w:shd w:val="clear" w:fill="FFFFFF"/>
          <w:lang w:eastAsia="zh-CN"/>
        </w:rPr>
      </w:pPr>
      <w:r>
        <w:rPr>
          <w:rFonts w:hint="eastAsia" w:ascii="宋体" w:hAnsi="宋体" w:eastAsia="宋体" w:cs="宋体"/>
          <w:sz w:val="21"/>
          <w:szCs w:val="21"/>
          <w:lang w:val="en-US" w:eastAsia="zh-CN"/>
        </w:rPr>
        <w:t xml:space="preserve">3.1 </w:t>
      </w:r>
      <w:r>
        <w:rPr>
          <w:rFonts w:hint="eastAsia" w:ascii="宋体" w:hAnsi="宋体" w:eastAsia="宋体" w:cs="宋体"/>
          <w:i w:val="0"/>
          <w:iCs w:val="0"/>
          <w:caps w:val="0"/>
          <w:color w:val="1C1F23"/>
          <w:spacing w:val="0"/>
          <w:sz w:val="21"/>
          <w:szCs w:val="21"/>
          <w:shd w:val="clear" w:fill="FFFFFF"/>
        </w:rPr>
        <w:t>柠条原料</w:t>
      </w:r>
      <w:r>
        <w:rPr>
          <w:rFonts w:hint="eastAsia" w:ascii="宋体" w:hAnsi="宋体" w:eastAsia="宋体" w:cs="宋体"/>
          <w:i w:val="0"/>
          <w:iCs w:val="0"/>
          <w:caps w:val="0"/>
          <w:color w:val="1C1F23"/>
          <w:spacing w:val="0"/>
          <w:sz w:val="21"/>
          <w:szCs w:val="21"/>
          <w:shd w:val="clear" w:fill="FFFFFF"/>
          <w:lang w:eastAsia="zh-CN"/>
        </w:rPr>
        <w:t>：</w:t>
      </w:r>
    </w:p>
    <w:p w14:paraId="428B4B2E">
      <w:pPr>
        <w:pStyle w:val="9"/>
        <w:spacing w:line="240" w:lineRule="auto"/>
        <w:rPr>
          <w:rFonts w:hint="default" w:ascii="Times New Roman" w:hAnsi="Times New Roman" w:eastAsia="宋体" w:cs="Times New Roman"/>
          <w:i w:val="0"/>
          <w:iCs w:val="0"/>
          <w:caps w:val="0"/>
          <w:color w:val="1C1F23"/>
          <w:spacing w:val="0"/>
          <w:sz w:val="21"/>
          <w:szCs w:val="21"/>
          <w:shd w:val="clear" w:fill="FFFFFF"/>
        </w:rPr>
      </w:pPr>
      <w:r>
        <w:rPr>
          <w:rFonts w:hint="default" w:ascii="Times New Roman" w:hAnsi="Times New Roman" w:eastAsia="宋体" w:cs="Times New Roman"/>
          <w:i w:val="0"/>
          <w:iCs w:val="0"/>
          <w:caps w:val="0"/>
          <w:color w:val="1C1F23"/>
          <w:spacing w:val="0"/>
          <w:sz w:val="21"/>
          <w:szCs w:val="21"/>
          <w:shd w:val="clear" w:fill="FFFFFF"/>
        </w:rPr>
        <w:t>收割要求</w:t>
      </w:r>
      <w:r>
        <w:rPr>
          <w:rFonts w:hint="default" w:ascii="Times New Roman" w:hAnsi="Times New Roman" w:eastAsia="宋体" w:cs="Times New Roman"/>
          <w:i w:val="0"/>
          <w:iCs w:val="0"/>
          <w:caps w:val="0"/>
          <w:color w:val="1C1F23"/>
          <w:spacing w:val="0"/>
          <w:sz w:val="21"/>
          <w:szCs w:val="21"/>
          <w:shd w:val="clear" w:fill="FFFFFF"/>
          <w:lang w:eastAsia="zh-CN"/>
        </w:rPr>
        <w:t>：</w:t>
      </w:r>
      <w:r>
        <w:rPr>
          <w:rFonts w:hint="default" w:ascii="Times New Roman" w:hAnsi="Times New Roman" w:eastAsia="宋体" w:cs="Times New Roman"/>
          <w:i w:val="0"/>
          <w:iCs w:val="0"/>
          <w:caps w:val="0"/>
          <w:color w:val="1C1F23"/>
          <w:spacing w:val="0"/>
          <w:sz w:val="21"/>
          <w:szCs w:val="21"/>
          <w:shd w:val="clear" w:fill="FFFFFF"/>
        </w:rPr>
        <w:t>柠条平茬收割每3-5年一次，平茬时间为当年10月至次年5月份，应隔行或隔带收割，留茬高度为</w:t>
      </w:r>
      <w:r>
        <w:rPr>
          <w:rFonts w:hint="eastAsia" w:ascii="Times New Roman" w:cs="Times New Roman"/>
          <w:i w:val="0"/>
          <w:iCs w:val="0"/>
          <w:caps w:val="0"/>
          <w:color w:val="1C1F23"/>
          <w:spacing w:val="0"/>
          <w:sz w:val="21"/>
          <w:szCs w:val="21"/>
          <w:shd w:val="clear" w:fill="FFFFFF"/>
          <w:lang w:val="en-US" w:eastAsia="zh-CN"/>
        </w:rPr>
        <w:t>10—30</w:t>
      </w:r>
      <w:r>
        <w:rPr>
          <w:rFonts w:hint="default" w:ascii="Times New Roman" w:hAnsi="Times New Roman" w:eastAsia="宋体" w:cs="Times New Roman"/>
          <w:i w:val="0"/>
          <w:iCs w:val="0"/>
          <w:caps w:val="0"/>
          <w:color w:val="1C1F23"/>
          <w:spacing w:val="0"/>
          <w:sz w:val="21"/>
          <w:szCs w:val="21"/>
          <w:shd w:val="clear" w:fill="FFFFFF"/>
        </w:rPr>
        <w:t>cm。收割分为人工收割和机械收割，且收获以保护生态为前提。</w:t>
      </w:r>
    </w:p>
    <w:p w14:paraId="76ACC9C2">
      <w:pPr>
        <w:pStyle w:val="9"/>
        <w:spacing w:line="240" w:lineRule="auto"/>
        <w:rPr>
          <w:rFonts w:hint="default" w:ascii="Times New Roman" w:hAnsi="Times New Roman" w:eastAsia="宋体" w:cs="Times New Roman"/>
          <w:i w:val="0"/>
          <w:iCs w:val="0"/>
          <w:caps w:val="0"/>
          <w:color w:val="1C1F23"/>
          <w:spacing w:val="0"/>
          <w:sz w:val="21"/>
          <w:szCs w:val="21"/>
          <w:shd w:val="clear" w:fill="FFFFFF"/>
        </w:rPr>
      </w:pPr>
      <w:r>
        <w:rPr>
          <w:rFonts w:hint="default" w:ascii="Times New Roman" w:hAnsi="Times New Roman" w:eastAsia="宋体" w:cs="Times New Roman"/>
          <w:i w:val="0"/>
          <w:iCs w:val="0"/>
          <w:caps w:val="0"/>
          <w:color w:val="1C1F23"/>
          <w:spacing w:val="0"/>
          <w:sz w:val="21"/>
          <w:szCs w:val="21"/>
          <w:shd w:val="clear" w:fill="FFFFFF"/>
        </w:rPr>
        <w:t>原料质量</w:t>
      </w:r>
      <w:r>
        <w:rPr>
          <w:rFonts w:hint="default" w:ascii="Times New Roman" w:hAnsi="Times New Roman" w:eastAsia="宋体" w:cs="Times New Roman"/>
          <w:i w:val="0"/>
          <w:iCs w:val="0"/>
          <w:caps w:val="0"/>
          <w:color w:val="1C1F23"/>
          <w:spacing w:val="0"/>
          <w:sz w:val="21"/>
          <w:szCs w:val="21"/>
          <w:shd w:val="clear" w:fill="FFFFFF"/>
          <w:lang w:eastAsia="zh-CN"/>
        </w:rPr>
        <w:t>：</w:t>
      </w:r>
      <w:r>
        <w:rPr>
          <w:rFonts w:hint="default" w:ascii="Times New Roman" w:hAnsi="Times New Roman" w:eastAsia="宋体" w:cs="Times New Roman"/>
          <w:i w:val="0"/>
          <w:iCs w:val="0"/>
          <w:caps w:val="0"/>
          <w:color w:val="1C1F23"/>
          <w:spacing w:val="0"/>
          <w:sz w:val="21"/>
          <w:szCs w:val="21"/>
          <w:shd w:val="clear" w:fill="FFFFFF"/>
        </w:rPr>
        <w:t>柠条原料应纯净、无杂质、无发霉、无污染，不允许含有不能作为饲料利用的植物和有害杂质，卫生指标应符合GB 13078要求。</w:t>
      </w:r>
    </w:p>
    <w:p w14:paraId="09478B0E">
      <w:pPr>
        <w:pStyle w:val="9"/>
        <w:spacing w:line="240" w:lineRule="auto"/>
        <w:rPr>
          <w:rFonts w:hint="default" w:ascii="Times New Roman" w:hAnsi="Times New Roman" w:eastAsia="宋体" w:cs="Times New Roman"/>
          <w:i w:val="0"/>
          <w:iCs w:val="0"/>
          <w:caps w:val="0"/>
          <w:color w:val="1C1F23"/>
          <w:spacing w:val="0"/>
          <w:sz w:val="21"/>
          <w:szCs w:val="21"/>
          <w:shd w:val="clear" w:fill="FFFFFF"/>
        </w:rPr>
      </w:pPr>
      <w:r>
        <w:rPr>
          <w:rFonts w:hint="default" w:ascii="Times New Roman" w:hAnsi="Times New Roman" w:eastAsia="宋体" w:cs="Times New Roman"/>
          <w:i w:val="0"/>
          <w:iCs w:val="0"/>
          <w:caps w:val="0"/>
          <w:color w:val="1C1F23"/>
          <w:spacing w:val="0"/>
          <w:sz w:val="21"/>
          <w:szCs w:val="21"/>
          <w:shd w:val="clear" w:fill="FFFFFF"/>
          <w:lang w:val="en-US" w:eastAsia="zh-CN"/>
        </w:rPr>
        <w:t>水分要求：</w:t>
      </w:r>
      <w:r>
        <w:rPr>
          <w:rFonts w:hint="default" w:ascii="Times New Roman" w:hAnsi="Times New Roman" w:eastAsia="宋体" w:cs="Times New Roman"/>
          <w:i w:val="0"/>
          <w:iCs w:val="0"/>
          <w:caps w:val="0"/>
          <w:color w:val="1C1F23"/>
          <w:spacing w:val="0"/>
          <w:sz w:val="21"/>
          <w:szCs w:val="21"/>
          <w:shd w:val="clear" w:fill="FFFFFF"/>
        </w:rPr>
        <w:t>柠条收割后若不及时加工，需进行晾晒或烘干处理，烘干至水分含量≤14%。</w:t>
      </w:r>
    </w:p>
    <w:p w14:paraId="75AAEAE6">
      <w:pPr>
        <w:pStyle w:val="9"/>
        <w:spacing w:line="240" w:lineRule="auto"/>
        <w:rPr>
          <w:rFonts w:hint="default" w:ascii="Times New Roman" w:hAnsi="Times New Roman" w:eastAsia="宋体" w:cs="Times New Roman"/>
          <w:i w:val="0"/>
          <w:iCs w:val="0"/>
          <w:caps w:val="0"/>
          <w:color w:val="1C1F23"/>
          <w:spacing w:val="0"/>
          <w:sz w:val="21"/>
          <w:szCs w:val="21"/>
          <w:shd w:val="clear" w:fill="FFFFFF"/>
          <w:lang w:val="en-US" w:eastAsia="zh-CN"/>
        </w:rPr>
      </w:pPr>
      <w:r>
        <w:rPr>
          <w:rFonts w:hint="default" w:ascii="Times New Roman" w:hAnsi="Times New Roman" w:eastAsia="宋体" w:cs="Times New Roman"/>
          <w:i w:val="0"/>
          <w:iCs w:val="0"/>
          <w:caps w:val="0"/>
          <w:color w:val="1C1F23"/>
          <w:spacing w:val="0"/>
          <w:sz w:val="21"/>
          <w:szCs w:val="21"/>
          <w:shd w:val="clear" w:fill="FFFFFF"/>
        </w:rPr>
        <w:t>加工要求</w:t>
      </w:r>
      <w:r>
        <w:rPr>
          <w:rFonts w:hint="default" w:ascii="Times New Roman" w:hAnsi="Times New Roman" w:eastAsia="宋体" w:cs="Times New Roman"/>
          <w:i w:val="0"/>
          <w:iCs w:val="0"/>
          <w:caps w:val="0"/>
          <w:color w:val="1C1F23"/>
          <w:spacing w:val="0"/>
          <w:sz w:val="21"/>
          <w:szCs w:val="21"/>
          <w:shd w:val="clear" w:fill="FFFFFF"/>
          <w:lang w:eastAsia="zh-CN"/>
        </w:rPr>
        <w:t>：</w:t>
      </w:r>
      <w:r>
        <w:rPr>
          <w:rFonts w:hint="default" w:ascii="Times New Roman" w:hAnsi="Times New Roman" w:eastAsia="宋体" w:cs="Times New Roman"/>
          <w:i w:val="0"/>
          <w:iCs w:val="0"/>
          <w:caps w:val="0"/>
          <w:color w:val="1C1F23"/>
          <w:spacing w:val="0"/>
          <w:sz w:val="21"/>
          <w:szCs w:val="21"/>
          <w:shd w:val="clear" w:fill="FFFFFF"/>
        </w:rPr>
        <w:t>将柠条切成3cm-5cm的小段，晾干或干燥后经粉碎形成草粉，再进行揉丝，揉丝长度应不大于10mm，细度应不大于2mm。</w:t>
      </w:r>
    </w:p>
    <w:p w14:paraId="75760A49">
      <w:pPr>
        <w:pStyle w:val="9"/>
        <w:keepNext w:val="0"/>
        <w:keepLines w:val="0"/>
        <w:pageBreakBefore w:val="0"/>
        <w:widowControl/>
        <w:kinsoku/>
        <w:wordWrap/>
        <w:overflowPunct/>
        <w:topLinePunct w:val="0"/>
        <w:autoSpaceDE w:val="0"/>
        <w:autoSpaceDN w:val="0"/>
        <w:bidi w:val="0"/>
        <w:adjustRightInd/>
        <w:snapToGrid/>
        <w:spacing w:before="157" w:beforeLines="50" w:after="157" w:afterLines="50" w:line="240" w:lineRule="auto"/>
        <w:ind w:left="0" w:leftChars="0" w:firstLine="0" w:firstLineChars="0"/>
        <w:textAlignment w:val="auto"/>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3.</w:t>
      </w:r>
      <w:r>
        <w:rPr>
          <w:rFonts w:hint="eastAsia" w:hAnsi="宋体" w:cs="宋体"/>
          <w:bCs/>
          <w:sz w:val="21"/>
          <w:szCs w:val="21"/>
          <w:lang w:val="en-US" w:eastAsia="zh-CN" w:bidi="ar-SA"/>
        </w:rPr>
        <w:t xml:space="preserve">2 </w:t>
      </w:r>
      <w:r>
        <w:rPr>
          <w:rFonts w:hint="eastAsia" w:ascii="宋体" w:hAnsi="宋体" w:eastAsia="宋体" w:cs="宋体"/>
          <w:bCs/>
          <w:sz w:val="21"/>
          <w:szCs w:val="21"/>
          <w:lang w:val="en-US" w:eastAsia="zh-CN" w:bidi="ar-SA"/>
        </w:rPr>
        <w:t>发酵柠条：</w:t>
      </w:r>
    </w:p>
    <w:p w14:paraId="6C406F0B">
      <w:pPr>
        <w:pStyle w:val="9"/>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lang w:val="en-US" w:eastAsia="zh-CN"/>
        </w:rPr>
      </w:pPr>
      <w:r>
        <w:rPr>
          <w:rFonts w:hint="eastAsia" w:hAnsi="宋体" w:cs="宋体"/>
          <w:lang w:val="en-US" w:eastAsia="zh-CN"/>
        </w:rPr>
        <w:t>将柠条粉</w:t>
      </w:r>
      <w:r>
        <w:rPr>
          <w:rFonts w:hint="eastAsia" w:ascii="宋体" w:hAnsi="宋体" w:eastAsia="宋体" w:cs="宋体"/>
          <w:lang w:val="en-US" w:eastAsia="zh-CN"/>
        </w:rPr>
        <w:t>经人工接种或天然微生物在适宜条件下发酵，降解粗纤维、转化粗蛋白，生成小分子营养物质，降低抗营养因子，提升适口性与饲用价值的生物转化饲料。</w:t>
      </w:r>
    </w:p>
    <w:p w14:paraId="517ADE0B">
      <w:pPr>
        <w:pStyle w:val="11"/>
        <w:keepNext w:val="0"/>
        <w:keepLines w:val="0"/>
        <w:pageBreakBefore w:val="0"/>
        <w:widowControl/>
        <w:kinsoku/>
        <w:wordWrap/>
        <w:overflowPunct/>
        <w:topLinePunct w:val="0"/>
        <w:autoSpaceDE/>
        <w:autoSpaceDN/>
        <w:bidi w:val="0"/>
        <w:adjustRightInd/>
        <w:snapToGrid/>
        <w:spacing w:before="157" w:beforeLines="50" w:after="157" w:afterLines="50" w:line="240" w:lineRule="auto"/>
        <w:ind w:left="0"/>
        <w:textAlignment w:val="auto"/>
        <w:rPr>
          <w:rFonts w:hint="eastAsia" w:ascii="宋体" w:hAnsi="宋体" w:eastAsia="宋体" w:cs="宋体"/>
          <w:bCs/>
        </w:rPr>
      </w:pPr>
      <w:r>
        <w:rPr>
          <w:rFonts w:hint="eastAsia" w:ascii="宋体" w:hAnsi="宋体" w:eastAsia="宋体" w:cs="宋体"/>
          <w:bCs/>
        </w:rPr>
        <w:t>技术要求</w:t>
      </w:r>
    </w:p>
    <w:p w14:paraId="0D48BB88">
      <w:pPr>
        <w:pStyle w:val="12"/>
        <w:keepNext w:val="0"/>
        <w:keepLines w:val="0"/>
        <w:pageBreakBefore w:val="0"/>
        <w:widowControl/>
        <w:kinsoku/>
        <w:wordWrap/>
        <w:overflowPunct/>
        <w:topLinePunct w:val="0"/>
        <w:autoSpaceDE/>
        <w:autoSpaceDN/>
        <w:bidi w:val="0"/>
        <w:adjustRightInd/>
        <w:snapToGrid/>
        <w:spacing w:before="157" w:beforeLines="50" w:after="157" w:afterLines="50"/>
        <w:ind w:left="0"/>
        <w:textAlignment w:val="auto"/>
        <w:rPr>
          <w:rFonts w:hint="eastAsia" w:ascii="宋体" w:hAnsi="宋体" w:eastAsia="宋体" w:cs="宋体"/>
          <w:bCs/>
        </w:rPr>
      </w:pPr>
      <w:r>
        <w:rPr>
          <w:rFonts w:hint="eastAsia" w:ascii="宋体" w:hAnsi="宋体" w:eastAsia="宋体" w:cs="宋体"/>
          <w:bCs/>
        </w:rPr>
        <w:t>外观与性状</w:t>
      </w:r>
    </w:p>
    <w:p w14:paraId="4C6142A9">
      <w:pPr>
        <w:pStyle w:val="9"/>
        <w:keepNext w:val="0"/>
        <w:keepLines w:val="0"/>
        <w:pageBreakBefore w:val="0"/>
        <w:kinsoku/>
        <w:wordWrap/>
        <w:overflowPunct/>
        <w:topLinePunct w:val="0"/>
        <w:bidi w:val="0"/>
        <w:adjustRightInd/>
        <w:snapToGrid/>
        <w:textAlignment w:val="auto"/>
        <w:rPr>
          <w:rFonts w:hint="eastAsia" w:ascii="宋体" w:hAnsi="宋体" w:eastAsia="宋体" w:cs="宋体"/>
        </w:rPr>
      </w:pPr>
      <w:r>
        <w:rPr>
          <w:rFonts w:hint="eastAsia" w:ascii="宋体" w:hAnsi="宋体" w:eastAsia="宋体" w:cs="宋体"/>
          <w:lang w:val="en-US" w:eastAsia="zh-CN"/>
        </w:rPr>
        <w:t>黄绿色</w:t>
      </w:r>
      <w:r>
        <w:rPr>
          <w:rFonts w:hint="eastAsia" w:ascii="宋体" w:hAnsi="宋体" w:eastAsia="宋体" w:cs="宋体"/>
        </w:rPr>
        <w:t>，色泽一致，</w:t>
      </w:r>
      <w:r>
        <w:rPr>
          <w:rFonts w:hint="eastAsia" w:ascii="宋体" w:hAnsi="宋体" w:eastAsia="宋体" w:cs="宋体"/>
          <w:lang w:val="en-US" w:eastAsia="zh-CN"/>
        </w:rPr>
        <w:t>具有发酵的特殊味道，无</w:t>
      </w:r>
      <w:r>
        <w:rPr>
          <w:rFonts w:hint="eastAsia" w:ascii="宋体" w:hAnsi="宋体" w:eastAsia="宋体" w:cs="宋体"/>
        </w:rPr>
        <w:t>霉变、异臭。</w:t>
      </w:r>
    </w:p>
    <w:p w14:paraId="242BDD49">
      <w:pPr>
        <w:keepNext w:val="0"/>
        <w:keepLines w:val="0"/>
        <w:pageBreakBefore w:val="0"/>
        <w:kinsoku/>
        <w:wordWrap/>
        <w:overflowPunct/>
        <w:topLinePunct w:val="0"/>
        <w:bidi w:val="0"/>
        <w:adjustRightInd/>
        <w:snapToGrid/>
        <w:textAlignment w:val="auto"/>
        <w:rPr>
          <w:rFonts w:hint="eastAsia" w:ascii="宋体" w:hAnsi="宋体" w:eastAsia="宋体" w:cs="宋体"/>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AFCF340">
      <w:pPr>
        <w:pStyle w:val="12"/>
        <w:keepNext w:val="0"/>
        <w:keepLines w:val="0"/>
        <w:pageBreakBefore w:val="0"/>
        <w:widowControl/>
        <w:kinsoku/>
        <w:wordWrap/>
        <w:overflowPunct/>
        <w:topLinePunct w:val="0"/>
        <w:autoSpaceDE/>
        <w:autoSpaceDN/>
        <w:bidi w:val="0"/>
        <w:adjustRightInd/>
        <w:snapToGrid/>
        <w:spacing w:before="157" w:beforeLines="50" w:after="157" w:afterLines="50"/>
        <w:ind w:left="0"/>
        <w:textAlignment w:val="auto"/>
        <w:rPr>
          <w:rFonts w:hint="eastAsia" w:ascii="宋体" w:hAnsi="宋体" w:eastAsia="宋体" w:cs="宋体"/>
          <w:bCs/>
        </w:rPr>
      </w:pPr>
      <w:r>
        <w:rPr>
          <w:rFonts w:hint="eastAsia" w:ascii="宋体" w:hAnsi="宋体" w:eastAsia="宋体" w:cs="宋体"/>
          <w:bCs/>
        </w:rPr>
        <w:t>质量指标</w:t>
      </w:r>
    </w:p>
    <w:p w14:paraId="693A1352">
      <w:pPr>
        <w:pStyle w:val="9"/>
        <w:keepNext w:val="0"/>
        <w:keepLines w:val="0"/>
        <w:pageBreakBefore w:val="0"/>
        <w:kinsoku/>
        <w:wordWrap/>
        <w:overflowPunct/>
        <w:topLinePunct w:val="0"/>
        <w:bidi w:val="0"/>
        <w:adjustRightInd/>
        <w:snapToGrid/>
        <w:ind w:left="-2"/>
        <w:textAlignment w:val="auto"/>
        <w:rPr>
          <w:rFonts w:hint="eastAsia" w:ascii="宋体" w:hAnsi="宋体" w:eastAsia="宋体" w:cs="宋体"/>
        </w:rPr>
      </w:pPr>
      <w:r>
        <w:rPr>
          <w:rFonts w:hint="eastAsia" w:ascii="宋体" w:hAnsi="宋体" w:eastAsia="宋体" w:cs="宋体"/>
        </w:rPr>
        <w:t>质量指标应符合表1的规定。</w:t>
      </w:r>
    </w:p>
    <w:p w14:paraId="0BE833D1">
      <w:pPr>
        <w:pStyle w:val="13"/>
        <w:keepNext w:val="0"/>
        <w:keepLines w:val="0"/>
        <w:pageBreakBefore w:val="0"/>
        <w:kinsoku/>
        <w:wordWrap/>
        <w:overflowPunct/>
        <w:topLinePunct w:val="0"/>
        <w:bidi w:val="0"/>
        <w:adjustRightInd/>
        <w:snapToGrid/>
        <w:spacing w:beforeLines="0" w:afterLines="0"/>
        <w:textAlignment w:val="auto"/>
        <w:rPr>
          <w:rFonts w:hint="eastAsia" w:ascii="黑体" w:hAnsi="黑体" w:eastAsia="黑体" w:cs="黑体"/>
          <w:b w:val="0"/>
          <w:bCs/>
        </w:rPr>
      </w:pPr>
      <w:r>
        <w:rPr>
          <w:rFonts w:hint="eastAsia" w:ascii="黑体" w:hAnsi="黑体" w:eastAsia="黑体" w:cs="黑体"/>
          <w:b w:val="0"/>
          <w:bCs/>
        </w:rPr>
        <w:t>表1质量指标</w:t>
      </w:r>
    </w:p>
    <w:tbl>
      <w:tblPr>
        <w:tblStyle w:val="5"/>
        <w:tblpPr w:leftFromText="180" w:rightFromText="180" w:vertAnchor="text" w:horzAnchor="page" w:tblpX="1936" w:tblpY="246"/>
        <w:tblOverlap w:val="never"/>
        <w:tblW w:w="48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3"/>
        <w:gridCol w:w="1573"/>
        <w:gridCol w:w="1441"/>
        <w:gridCol w:w="1434"/>
      </w:tblGrid>
      <w:tr w14:paraId="55B91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301" w:type="pct"/>
            <w:vMerge w:val="restart"/>
            <w:tcBorders>
              <w:top w:val="single" w:color="auto" w:sz="8" w:space="0"/>
              <w:left w:val="single" w:color="auto" w:sz="8" w:space="0"/>
              <w:bottom w:val="single" w:color="auto" w:sz="8" w:space="0"/>
              <w:right w:val="single" w:color="auto" w:sz="8" w:space="0"/>
            </w:tcBorders>
            <w:vAlign w:val="center"/>
          </w:tcPr>
          <w:p w14:paraId="0B54F973">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sz w:val="18"/>
                <w:szCs w:val="18"/>
              </w:rPr>
            </w:pPr>
            <w:r>
              <w:rPr>
                <w:rFonts w:hint="eastAsia" w:ascii="宋体" w:hAnsi="宋体" w:eastAsia="宋体" w:cs="宋体"/>
                <w:sz w:val="18"/>
                <w:szCs w:val="18"/>
              </w:rPr>
              <w:t>项目</w:t>
            </w:r>
          </w:p>
        </w:tc>
        <w:tc>
          <w:tcPr>
            <w:tcW w:w="2698" w:type="pct"/>
            <w:gridSpan w:val="3"/>
            <w:tcBorders>
              <w:top w:val="single" w:color="auto" w:sz="8" w:space="0"/>
              <w:left w:val="single" w:color="auto" w:sz="8" w:space="0"/>
              <w:bottom w:val="single" w:color="auto" w:sz="8" w:space="0"/>
              <w:right w:val="single" w:color="auto" w:sz="8" w:space="0"/>
            </w:tcBorders>
            <w:vAlign w:val="center"/>
          </w:tcPr>
          <w:p w14:paraId="5846F9D3">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sz w:val="18"/>
                <w:szCs w:val="18"/>
              </w:rPr>
            </w:pPr>
            <w:r>
              <w:rPr>
                <w:rFonts w:hint="eastAsia" w:ascii="宋体" w:hAnsi="宋体" w:eastAsia="宋体" w:cs="宋体"/>
                <w:sz w:val="18"/>
                <w:szCs w:val="18"/>
              </w:rPr>
              <w:t>指标</w:t>
            </w:r>
          </w:p>
        </w:tc>
      </w:tr>
      <w:tr w14:paraId="33248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2301" w:type="pct"/>
            <w:vMerge w:val="continue"/>
            <w:tcBorders>
              <w:top w:val="single" w:color="auto" w:sz="8" w:space="0"/>
              <w:left w:val="single" w:color="auto" w:sz="8" w:space="0"/>
              <w:bottom w:val="single" w:color="auto" w:sz="8" w:space="0"/>
              <w:right w:val="single" w:color="auto" w:sz="8" w:space="0"/>
            </w:tcBorders>
            <w:vAlign w:val="center"/>
          </w:tcPr>
          <w:p w14:paraId="7A56E9B7">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sz w:val="18"/>
                <w:szCs w:val="18"/>
              </w:rPr>
            </w:pPr>
          </w:p>
        </w:tc>
        <w:tc>
          <w:tcPr>
            <w:tcW w:w="954" w:type="pct"/>
            <w:tcBorders>
              <w:top w:val="single" w:color="auto" w:sz="8" w:space="0"/>
              <w:left w:val="single" w:color="auto" w:sz="8" w:space="0"/>
              <w:bottom w:val="single" w:color="auto" w:sz="8" w:space="0"/>
              <w:right w:val="single" w:color="auto" w:sz="8" w:space="0"/>
            </w:tcBorders>
            <w:vAlign w:val="center"/>
          </w:tcPr>
          <w:p w14:paraId="04E6EB15">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sz w:val="18"/>
                <w:szCs w:val="18"/>
              </w:rPr>
            </w:pPr>
            <w:r>
              <w:rPr>
                <w:rFonts w:hint="eastAsia" w:ascii="宋体" w:hAnsi="宋体" w:eastAsia="宋体" w:cs="宋体"/>
                <w:sz w:val="18"/>
                <w:szCs w:val="18"/>
              </w:rPr>
              <w:t>特级</w:t>
            </w:r>
          </w:p>
        </w:tc>
        <w:tc>
          <w:tcPr>
            <w:tcW w:w="874" w:type="pct"/>
            <w:tcBorders>
              <w:top w:val="single" w:color="auto" w:sz="8" w:space="0"/>
              <w:left w:val="single" w:color="auto" w:sz="8" w:space="0"/>
              <w:bottom w:val="single" w:color="auto" w:sz="8" w:space="0"/>
              <w:right w:val="single" w:color="auto" w:sz="8" w:space="0"/>
            </w:tcBorders>
            <w:vAlign w:val="center"/>
          </w:tcPr>
          <w:p w14:paraId="7AC16262">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sz w:val="18"/>
                <w:szCs w:val="18"/>
              </w:rPr>
            </w:pPr>
            <w:r>
              <w:rPr>
                <w:rFonts w:hint="eastAsia" w:ascii="宋体" w:hAnsi="宋体" w:eastAsia="宋体" w:cs="宋体"/>
                <w:sz w:val="18"/>
                <w:szCs w:val="18"/>
              </w:rPr>
              <w:t>一级</w:t>
            </w:r>
          </w:p>
        </w:tc>
        <w:tc>
          <w:tcPr>
            <w:tcW w:w="870" w:type="pct"/>
            <w:tcBorders>
              <w:top w:val="single" w:color="auto" w:sz="8" w:space="0"/>
              <w:left w:val="single" w:color="auto" w:sz="8" w:space="0"/>
              <w:bottom w:val="single" w:color="auto" w:sz="8" w:space="0"/>
              <w:right w:val="single" w:color="auto" w:sz="8" w:space="0"/>
            </w:tcBorders>
            <w:vAlign w:val="center"/>
          </w:tcPr>
          <w:p w14:paraId="46814806">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sz w:val="18"/>
                <w:szCs w:val="18"/>
              </w:rPr>
            </w:pPr>
            <w:r>
              <w:rPr>
                <w:rFonts w:hint="eastAsia" w:ascii="宋体" w:hAnsi="宋体" w:eastAsia="宋体" w:cs="宋体"/>
                <w:sz w:val="18"/>
                <w:szCs w:val="18"/>
              </w:rPr>
              <w:t>二级</w:t>
            </w:r>
          </w:p>
        </w:tc>
      </w:tr>
      <w:tr w14:paraId="0C41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301" w:type="pct"/>
            <w:tcBorders>
              <w:top w:val="single" w:color="auto" w:sz="8" w:space="0"/>
              <w:left w:val="single" w:color="auto" w:sz="8" w:space="0"/>
              <w:bottom w:val="single" w:color="auto" w:sz="8" w:space="0"/>
              <w:right w:val="single" w:color="auto" w:sz="8" w:space="0"/>
            </w:tcBorders>
            <w:vAlign w:val="center"/>
          </w:tcPr>
          <w:p w14:paraId="19CD5F46">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sz w:val="18"/>
                <w:szCs w:val="18"/>
              </w:rPr>
            </w:pPr>
            <w:r>
              <w:rPr>
                <w:rFonts w:hint="eastAsia" w:ascii="宋体" w:hAnsi="宋体" w:cs="宋体"/>
                <w:sz w:val="18"/>
                <w:szCs w:val="18"/>
                <w:lang w:val="en-US" w:eastAsia="zh-CN"/>
              </w:rPr>
              <w:t>CP</w:t>
            </w:r>
            <w:r>
              <w:rPr>
                <w:rFonts w:hint="eastAsia" w:ascii="宋体" w:hAnsi="宋体" w:eastAsia="宋体" w:cs="宋体"/>
                <w:sz w:val="18"/>
                <w:szCs w:val="18"/>
              </w:rPr>
              <w:t>（以干基计）/%</w:t>
            </w:r>
          </w:p>
        </w:tc>
        <w:tc>
          <w:tcPr>
            <w:tcW w:w="954" w:type="pct"/>
            <w:tcBorders>
              <w:top w:val="single" w:color="auto" w:sz="8" w:space="0"/>
              <w:left w:val="single" w:color="auto" w:sz="8" w:space="0"/>
              <w:bottom w:val="single" w:color="auto" w:sz="8" w:space="0"/>
              <w:right w:val="single" w:color="auto" w:sz="8" w:space="0"/>
            </w:tcBorders>
            <w:vAlign w:val="center"/>
          </w:tcPr>
          <w:p w14:paraId="733A360F">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w:t>
            </w:r>
            <w:r>
              <w:rPr>
                <w:rFonts w:hint="eastAsia" w:ascii="宋体" w:hAnsi="宋体" w:eastAsia="宋体" w:cs="宋体"/>
                <w:sz w:val="18"/>
                <w:szCs w:val="18"/>
                <w:lang w:val="en-US" w:eastAsia="zh-CN"/>
              </w:rPr>
              <w:t>20</w:t>
            </w:r>
          </w:p>
        </w:tc>
        <w:tc>
          <w:tcPr>
            <w:tcW w:w="874" w:type="pct"/>
            <w:tcBorders>
              <w:top w:val="single" w:color="auto" w:sz="8" w:space="0"/>
              <w:left w:val="single" w:color="auto" w:sz="8" w:space="0"/>
              <w:bottom w:val="single" w:color="auto" w:sz="8" w:space="0"/>
              <w:right w:val="single" w:color="auto" w:sz="8" w:space="0"/>
            </w:tcBorders>
            <w:vAlign w:val="center"/>
          </w:tcPr>
          <w:p w14:paraId="3B4F93A2">
            <w:pPr>
              <w:keepNext w:val="0"/>
              <w:keepLines w:val="0"/>
              <w:pageBreakBefore w:val="0"/>
              <w:kinsoku/>
              <w:wordWrap/>
              <w:overflowPunct/>
              <w:topLinePunct w:val="0"/>
              <w:bidi w:val="0"/>
              <w:adjustRightInd/>
              <w:snapToGrid/>
              <w:ind w:right="-90" w:rightChars="-43"/>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15≤CP＜20</w:t>
            </w:r>
          </w:p>
        </w:tc>
        <w:tc>
          <w:tcPr>
            <w:tcW w:w="870" w:type="pct"/>
            <w:tcBorders>
              <w:top w:val="single" w:color="auto" w:sz="8" w:space="0"/>
              <w:left w:val="single" w:color="auto" w:sz="8" w:space="0"/>
              <w:bottom w:val="single" w:color="auto" w:sz="8" w:space="0"/>
              <w:right w:val="single" w:color="auto" w:sz="8" w:space="0"/>
            </w:tcBorders>
            <w:vAlign w:val="center"/>
          </w:tcPr>
          <w:p w14:paraId="157B7BC6">
            <w:pPr>
              <w:keepNext w:val="0"/>
              <w:keepLines w:val="0"/>
              <w:pageBreakBefore w:val="0"/>
              <w:kinsoku/>
              <w:wordWrap/>
              <w:overflowPunct/>
              <w:topLinePunct w:val="0"/>
              <w:bidi w:val="0"/>
              <w:adjustRightInd/>
              <w:snapToGrid/>
              <w:ind w:right="-90" w:rightChars="-43"/>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10≤CP＜15</w:t>
            </w:r>
          </w:p>
        </w:tc>
      </w:tr>
      <w:tr w14:paraId="02497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301" w:type="pct"/>
            <w:tcBorders>
              <w:top w:val="single" w:color="auto" w:sz="8" w:space="0"/>
              <w:left w:val="single" w:color="auto" w:sz="8" w:space="0"/>
              <w:bottom w:val="single" w:color="auto" w:sz="8" w:space="0"/>
              <w:right w:val="single" w:color="auto" w:sz="8" w:space="0"/>
            </w:tcBorders>
            <w:vAlign w:val="center"/>
          </w:tcPr>
          <w:p w14:paraId="5DBD5273">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sz w:val="18"/>
                <w:szCs w:val="18"/>
              </w:rPr>
            </w:pPr>
            <w:r>
              <w:rPr>
                <w:rFonts w:hint="eastAsia" w:ascii="宋体" w:hAnsi="宋体" w:cs="宋体"/>
                <w:sz w:val="18"/>
                <w:szCs w:val="18"/>
                <w:lang w:val="en-US" w:eastAsia="zh-CN"/>
              </w:rPr>
              <w:t>Tannins</w:t>
            </w:r>
            <w:r>
              <w:rPr>
                <w:rFonts w:hint="eastAsia" w:ascii="宋体" w:hAnsi="宋体" w:eastAsia="宋体" w:cs="宋体"/>
                <w:sz w:val="18"/>
                <w:szCs w:val="18"/>
              </w:rPr>
              <w:t>（以干基计）/%</w:t>
            </w:r>
          </w:p>
        </w:tc>
        <w:tc>
          <w:tcPr>
            <w:tcW w:w="954" w:type="pct"/>
            <w:tcBorders>
              <w:top w:val="single" w:color="auto" w:sz="8" w:space="0"/>
              <w:left w:val="single" w:color="auto" w:sz="8" w:space="0"/>
              <w:bottom w:val="single" w:color="auto" w:sz="8" w:space="0"/>
              <w:right w:val="single" w:color="auto" w:sz="8" w:space="0"/>
            </w:tcBorders>
            <w:vAlign w:val="center"/>
          </w:tcPr>
          <w:p w14:paraId="2984A3AE">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w:t>
            </w:r>
            <w:r>
              <w:rPr>
                <w:rFonts w:hint="eastAsia" w:ascii="宋体" w:hAnsi="宋体" w:eastAsia="宋体" w:cs="宋体"/>
                <w:sz w:val="18"/>
                <w:szCs w:val="18"/>
                <w:lang w:val="en-US" w:eastAsia="zh-CN"/>
              </w:rPr>
              <w:t>0.1</w:t>
            </w:r>
          </w:p>
        </w:tc>
        <w:tc>
          <w:tcPr>
            <w:tcW w:w="1744" w:type="pct"/>
            <w:gridSpan w:val="2"/>
            <w:tcBorders>
              <w:top w:val="single" w:color="auto" w:sz="8" w:space="0"/>
              <w:left w:val="single" w:color="auto" w:sz="8" w:space="0"/>
              <w:bottom w:val="single" w:color="auto" w:sz="8" w:space="0"/>
              <w:right w:val="single" w:color="auto" w:sz="8" w:space="0"/>
            </w:tcBorders>
            <w:vAlign w:val="center"/>
          </w:tcPr>
          <w:p w14:paraId="09DC6919">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0.1＜Tannnins</w:t>
            </w:r>
            <w:r>
              <w:rPr>
                <w:rFonts w:hint="eastAsia" w:ascii="宋体" w:hAnsi="宋体" w:eastAsia="宋体" w:cs="宋体"/>
                <w:sz w:val="18"/>
                <w:szCs w:val="18"/>
              </w:rPr>
              <w:t>≤</w:t>
            </w:r>
            <w:r>
              <w:rPr>
                <w:rFonts w:hint="eastAsia" w:ascii="宋体" w:hAnsi="宋体" w:eastAsia="宋体" w:cs="宋体"/>
                <w:sz w:val="18"/>
                <w:szCs w:val="18"/>
                <w:lang w:val="en-US" w:eastAsia="zh-CN"/>
              </w:rPr>
              <w:t>0.15</w:t>
            </w:r>
          </w:p>
        </w:tc>
      </w:tr>
      <w:tr w14:paraId="08E85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301" w:type="pct"/>
            <w:tcBorders>
              <w:top w:val="single" w:color="auto" w:sz="8" w:space="0"/>
              <w:left w:val="single" w:color="auto" w:sz="8" w:space="0"/>
              <w:bottom w:val="single" w:color="auto" w:sz="8" w:space="0"/>
              <w:right w:val="single" w:color="auto" w:sz="8" w:space="0"/>
            </w:tcBorders>
            <w:vAlign w:val="center"/>
          </w:tcPr>
          <w:p w14:paraId="1EB0A473">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sz w:val="18"/>
                <w:szCs w:val="18"/>
              </w:rPr>
            </w:pPr>
            <w:r>
              <w:rPr>
                <w:rFonts w:hint="eastAsia" w:ascii="宋体" w:hAnsi="宋体" w:cs="宋体"/>
                <w:sz w:val="18"/>
                <w:szCs w:val="18"/>
                <w:lang w:val="en-US" w:eastAsia="zh-CN"/>
              </w:rPr>
              <w:t>ADF</w:t>
            </w:r>
            <w:r>
              <w:rPr>
                <w:rFonts w:hint="eastAsia" w:ascii="宋体" w:hAnsi="宋体" w:eastAsia="宋体" w:cs="宋体"/>
                <w:sz w:val="18"/>
                <w:szCs w:val="18"/>
              </w:rPr>
              <w:t>（以干基计）/%</w:t>
            </w:r>
          </w:p>
        </w:tc>
        <w:tc>
          <w:tcPr>
            <w:tcW w:w="2698" w:type="pct"/>
            <w:gridSpan w:val="3"/>
            <w:tcBorders>
              <w:top w:val="single" w:color="auto" w:sz="8" w:space="0"/>
              <w:left w:val="single" w:color="auto" w:sz="8" w:space="0"/>
              <w:bottom w:val="single" w:color="auto" w:sz="8" w:space="0"/>
              <w:right w:val="single" w:color="auto" w:sz="8" w:space="0"/>
            </w:tcBorders>
            <w:vAlign w:val="center"/>
          </w:tcPr>
          <w:p w14:paraId="0148210F">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w:t>
            </w:r>
            <w:r>
              <w:rPr>
                <w:rFonts w:hint="eastAsia" w:ascii="宋体" w:hAnsi="宋体" w:eastAsia="宋体" w:cs="宋体"/>
                <w:sz w:val="18"/>
                <w:szCs w:val="18"/>
                <w:lang w:val="en-US" w:eastAsia="zh-CN"/>
              </w:rPr>
              <w:t>40</w:t>
            </w:r>
          </w:p>
        </w:tc>
      </w:tr>
      <w:tr w14:paraId="0F647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301" w:type="pct"/>
            <w:tcBorders>
              <w:top w:val="single" w:color="auto" w:sz="8" w:space="0"/>
              <w:left w:val="single" w:color="auto" w:sz="8" w:space="0"/>
              <w:bottom w:val="single" w:color="auto" w:sz="8" w:space="0"/>
              <w:right w:val="single" w:color="auto" w:sz="8" w:space="0"/>
            </w:tcBorders>
            <w:vAlign w:val="center"/>
          </w:tcPr>
          <w:p w14:paraId="1550220F">
            <w:pPr>
              <w:keepNext w:val="0"/>
              <w:keepLines w:val="0"/>
              <w:pageBreakBefore w:val="0"/>
              <w:kinsoku/>
              <w:wordWrap/>
              <w:overflowPunct/>
              <w:topLinePunct w:val="0"/>
              <w:bidi w:val="0"/>
              <w:adjustRightInd/>
              <w:snapToGrid/>
              <w:ind w:right="-90" w:rightChars="-43"/>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NDF</w:t>
            </w:r>
          </w:p>
        </w:tc>
        <w:tc>
          <w:tcPr>
            <w:tcW w:w="2698" w:type="pct"/>
            <w:gridSpan w:val="3"/>
            <w:tcBorders>
              <w:top w:val="single" w:color="auto" w:sz="8" w:space="0"/>
              <w:left w:val="single" w:color="auto" w:sz="8" w:space="0"/>
              <w:bottom w:val="single" w:color="auto" w:sz="8" w:space="0"/>
              <w:right w:val="single" w:color="auto" w:sz="8" w:space="0"/>
            </w:tcBorders>
            <w:vAlign w:val="center"/>
          </w:tcPr>
          <w:p w14:paraId="2971306A">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w:t>
            </w:r>
            <w:r>
              <w:rPr>
                <w:rFonts w:hint="eastAsia" w:ascii="宋体" w:hAnsi="宋体" w:eastAsia="宋体" w:cs="宋体"/>
                <w:sz w:val="18"/>
                <w:szCs w:val="18"/>
                <w:lang w:val="en-US" w:eastAsia="zh-CN"/>
              </w:rPr>
              <w:t>40</w:t>
            </w:r>
          </w:p>
        </w:tc>
      </w:tr>
      <w:tr w14:paraId="32B2E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301" w:type="pct"/>
            <w:tcBorders>
              <w:top w:val="single" w:color="auto" w:sz="8" w:space="0"/>
              <w:left w:val="single" w:color="auto" w:sz="8" w:space="0"/>
              <w:bottom w:val="single" w:color="auto" w:sz="8" w:space="0"/>
              <w:right w:val="single" w:color="auto" w:sz="8" w:space="0"/>
            </w:tcBorders>
            <w:vAlign w:val="center"/>
          </w:tcPr>
          <w:p w14:paraId="3EB92961">
            <w:pPr>
              <w:keepNext w:val="0"/>
              <w:keepLines w:val="0"/>
              <w:pageBreakBefore w:val="0"/>
              <w:kinsoku/>
              <w:wordWrap/>
              <w:overflowPunct/>
              <w:topLinePunct w:val="0"/>
              <w:bidi w:val="0"/>
              <w:adjustRightInd/>
              <w:snapToGrid/>
              <w:ind w:right="-90" w:rightChars="-43"/>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ASH</w:t>
            </w:r>
          </w:p>
        </w:tc>
        <w:tc>
          <w:tcPr>
            <w:tcW w:w="2698" w:type="pct"/>
            <w:gridSpan w:val="3"/>
            <w:tcBorders>
              <w:top w:val="single" w:color="auto" w:sz="8" w:space="0"/>
              <w:left w:val="single" w:color="auto" w:sz="8" w:space="0"/>
              <w:bottom w:val="single" w:color="auto" w:sz="8" w:space="0"/>
              <w:right w:val="single" w:color="auto" w:sz="8" w:space="0"/>
            </w:tcBorders>
            <w:vAlign w:val="center"/>
          </w:tcPr>
          <w:p w14:paraId="589B87F9">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14:paraId="294EB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301" w:type="pct"/>
            <w:tcBorders>
              <w:top w:val="single" w:color="auto" w:sz="8" w:space="0"/>
              <w:left w:val="single" w:color="auto" w:sz="8" w:space="0"/>
              <w:bottom w:val="single" w:color="auto" w:sz="8" w:space="0"/>
              <w:right w:val="single" w:color="auto" w:sz="8" w:space="0"/>
            </w:tcBorders>
            <w:shd w:val="clear"/>
            <w:vAlign w:val="center"/>
          </w:tcPr>
          <w:p w14:paraId="4ABFF9BA">
            <w:pPr>
              <w:keepNext w:val="0"/>
              <w:keepLines w:val="0"/>
              <w:pageBreakBefore w:val="0"/>
              <w:kinsoku/>
              <w:wordWrap/>
              <w:overflowPunct/>
              <w:topLinePunct w:val="0"/>
              <w:bidi w:val="0"/>
              <w:adjustRightInd/>
              <w:snapToGrid/>
              <w:ind w:right="-90" w:rightChars="-43"/>
              <w:jc w:val="center"/>
              <w:textAlignment w:val="auto"/>
              <w:rPr>
                <w:rFonts w:hint="default" w:ascii="宋体" w:hAnsi="宋体" w:eastAsia="宋体" w:cs="宋体"/>
                <w:kern w:val="2"/>
                <w:sz w:val="18"/>
                <w:szCs w:val="18"/>
                <w:lang w:val="en-US" w:eastAsia="zh-CN" w:bidi="ar-SA"/>
              </w:rPr>
            </w:pPr>
            <w:r>
              <w:rPr>
                <w:rFonts w:hint="eastAsia" w:ascii="宋体" w:hAnsi="宋体" w:cs="宋体"/>
                <w:sz w:val="18"/>
                <w:szCs w:val="18"/>
                <w:lang w:val="en-US" w:eastAsia="zh-CN"/>
              </w:rPr>
              <w:t>ADL</w:t>
            </w:r>
          </w:p>
        </w:tc>
        <w:tc>
          <w:tcPr>
            <w:tcW w:w="2698" w:type="pct"/>
            <w:gridSpan w:val="3"/>
            <w:tcBorders>
              <w:top w:val="single" w:color="auto" w:sz="8" w:space="0"/>
              <w:left w:val="single" w:color="auto" w:sz="8" w:space="0"/>
              <w:bottom w:val="single" w:color="auto" w:sz="8" w:space="0"/>
              <w:right w:val="single" w:color="auto" w:sz="8" w:space="0"/>
            </w:tcBorders>
            <w:vAlign w:val="center"/>
          </w:tcPr>
          <w:p w14:paraId="60762995">
            <w:pPr>
              <w:keepNext w:val="0"/>
              <w:keepLines w:val="0"/>
              <w:pageBreakBefore w:val="0"/>
              <w:kinsoku/>
              <w:wordWrap/>
              <w:overflowPunct/>
              <w:topLinePunct w:val="0"/>
              <w:bidi w:val="0"/>
              <w:adjustRightInd/>
              <w:snapToGrid/>
              <w:ind w:right="-90" w:rightChars="-43"/>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14:paraId="25140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301" w:type="pct"/>
            <w:tcBorders>
              <w:top w:val="single" w:color="auto" w:sz="8" w:space="0"/>
              <w:left w:val="single" w:color="auto" w:sz="8" w:space="0"/>
              <w:bottom w:val="single" w:color="auto" w:sz="8" w:space="0"/>
              <w:right w:val="single" w:color="auto" w:sz="8" w:space="0"/>
            </w:tcBorders>
            <w:shd w:val="clear"/>
            <w:vAlign w:val="center"/>
          </w:tcPr>
          <w:p w14:paraId="147E8805">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WSC</w:t>
            </w:r>
          </w:p>
        </w:tc>
        <w:tc>
          <w:tcPr>
            <w:tcW w:w="2698" w:type="pct"/>
            <w:gridSpan w:val="3"/>
            <w:tcBorders>
              <w:top w:val="single" w:color="auto" w:sz="8" w:space="0"/>
              <w:left w:val="single" w:color="auto" w:sz="8" w:space="0"/>
              <w:bottom w:val="single" w:color="auto" w:sz="8" w:space="0"/>
              <w:right w:val="single" w:color="auto" w:sz="8" w:space="0"/>
            </w:tcBorders>
            <w:vAlign w:val="center"/>
          </w:tcPr>
          <w:p w14:paraId="5C465A6F">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w:t>
            </w:r>
          </w:p>
        </w:tc>
      </w:tr>
      <w:tr w14:paraId="192D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301" w:type="pct"/>
            <w:tcBorders>
              <w:top w:val="single" w:color="auto" w:sz="8" w:space="0"/>
              <w:left w:val="single" w:color="auto" w:sz="8" w:space="0"/>
              <w:bottom w:val="single" w:color="auto" w:sz="8" w:space="0"/>
              <w:right w:val="single" w:color="auto" w:sz="8" w:space="0"/>
            </w:tcBorders>
            <w:shd w:val="clear"/>
            <w:vAlign w:val="center"/>
          </w:tcPr>
          <w:p w14:paraId="2465F4FE">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pH</w:t>
            </w:r>
          </w:p>
        </w:tc>
        <w:tc>
          <w:tcPr>
            <w:tcW w:w="2698" w:type="pct"/>
            <w:gridSpan w:val="3"/>
            <w:tcBorders>
              <w:top w:val="single" w:color="auto" w:sz="8" w:space="0"/>
              <w:left w:val="single" w:color="auto" w:sz="8" w:space="0"/>
              <w:bottom w:val="single" w:color="auto" w:sz="8" w:space="0"/>
              <w:right w:val="single" w:color="auto" w:sz="8" w:space="0"/>
            </w:tcBorders>
            <w:shd w:val="clear"/>
            <w:vAlign w:val="center"/>
          </w:tcPr>
          <w:p w14:paraId="557D2027">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r>
              <w:rPr>
                <w:rFonts w:hint="eastAsia" w:ascii="宋体" w:hAnsi="宋体" w:eastAsia="宋体" w:cs="宋体"/>
                <w:sz w:val="18"/>
                <w:szCs w:val="18"/>
                <w:lang w:val="en-US" w:eastAsia="zh-CN"/>
              </w:rPr>
              <w:t>4</w:t>
            </w:r>
          </w:p>
        </w:tc>
      </w:tr>
      <w:tr w14:paraId="59EE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301" w:type="pct"/>
            <w:tcBorders>
              <w:top w:val="single" w:color="auto" w:sz="8" w:space="0"/>
              <w:left w:val="single" w:color="auto" w:sz="8" w:space="0"/>
              <w:bottom w:val="single" w:color="auto" w:sz="8" w:space="0"/>
              <w:right w:val="single" w:color="auto" w:sz="8" w:space="0"/>
            </w:tcBorders>
            <w:shd w:val="clear"/>
            <w:vAlign w:val="center"/>
          </w:tcPr>
          <w:p w14:paraId="07BC3495">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NH</w:t>
            </w:r>
            <w:r>
              <w:rPr>
                <w:rFonts w:hint="eastAsia" w:ascii="宋体" w:hAnsi="宋体" w:eastAsia="宋体" w:cs="宋体"/>
                <w:sz w:val="18"/>
                <w:szCs w:val="18"/>
                <w:vertAlign w:val="subscript"/>
                <w:lang w:val="en-US" w:eastAsia="zh-CN"/>
              </w:rPr>
              <w:t>3</w:t>
            </w:r>
            <w:r>
              <w:rPr>
                <w:rFonts w:hint="eastAsia" w:ascii="宋体" w:hAnsi="宋体" w:eastAsia="宋体" w:cs="宋体"/>
                <w:sz w:val="18"/>
                <w:szCs w:val="18"/>
                <w:lang w:val="en-US" w:eastAsia="zh-CN"/>
              </w:rPr>
              <w:t>-N</w:t>
            </w:r>
            <w:r>
              <w:rPr>
                <w:rFonts w:hint="eastAsia" w:ascii="宋体" w:hAnsi="宋体" w:eastAsia="宋体" w:cs="宋体"/>
                <w:sz w:val="18"/>
                <w:szCs w:val="18"/>
              </w:rPr>
              <w:t>/%</w:t>
            </w:r>
          </w:p>
        </w:tc>
        <w:tc>
          <w:tcPr>
            <w:tcW w:w="2698" w:type="pct"/>
            <w:gridSpan w:val="3"/>
            <w:tcBorders>
              <w:top w:val="single" w:color="auto" w:sz="8" w:space="0"/>
              <w:left w:val="single" w:color="auto" w:sz="8" w:space="0"/>
              <w:bottom w:val="single" w:color="auto" w:sz="8" w:space="0"/>
              <w:right w:val="single" w:color="auto" w:sz="8" w:space="0"/>
            </w:tcBorders>
            <w:shd w:val="clear"/>
            <w:vAlign w:val="center"/>
          </w:tcPr>
          <w:p w14:paraId="48377043">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r>
              <w:rPr>
                <w:rFonts w:hint="eastAsia" w:ascii="宋体" w:hAnsi="宋体" w:eastAsia="宋体" w:cs="宋体"/>
                <w:sz w:val="18"/>
                <w:szCs w:val="18"/>
                <w:lang w:val="en-US" w:eastAsia="zh-CN"/>
              </w:rPr>
              <w:t>0.02</w:t>
            </w:r>
          </w:p>
        </w:tc>
      </w:tr>
      <w:tr w14:paraId="5B91A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301" w:type="pct"/>
            <w:tcBorders>
              <w:top w:val="single" w:color="auto" w:sz="8" w:space="0"/>
              <w:left w:val="single" w:color="auto" w:sz="8" w:space="0"/>
              <w:bottom w:val="single" w:color="auto" w:sz="8" w:space="0"/>
              <w:right w:val="single" w:color="auto" w:sz="8" w:space="0"/>
            </w:tcBorders>
            <w:shd w:val="clear"/>
            <w:vAlign w:val="center"/>
          </w:tcPr>
          <w:p w14:paraId="507DAB49">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水分</w:t>
            </w:r>
            <w:r>
              <w:rPr>
                <w:rFonts w:hint="eastAsia" w:ascii="宋体" w:hAnsi="宋体" w:eastAsia="宋体" w:cs="宋体"/>
                <w:sz w:val="18"/>
                <w:szCs w:val="18"/>
              </w:rPr>
              <w:t>/%</w:t>
            </w:r>
          </w:p>
        </w:tc>
        <w:tc>
          <w:tcPr>
            <w:tcW w:w="2698" w:type="pct"/>
            <w:gridSpan w:val="3"/>
            <w:tcBorders>
              <w:top w:val="single" w:color="auto" w:sz="8" w:space="0"/>
              <w:left w:val="single" w:color="auto" w:sz="8" w:space="0"/>
              <w:bottom w:val="single" w:color="auto" w:sz="8" w:space="0"/>
              <w:right w:val="single" w:color="auto" w:sz="8" w:space="0"/>
            </w:tcBorders>
            <w:shd w:val="clear"/>
            <w:vAlign w:val="center"/>
          </w:tcPr>
          <w:p w14:paraId="239A6246">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60≤水分≤65</w:t>
            </w:r>
          </w:p>
        </w:tc>
      </w:tr>
    </w:tbl>
    <w:p w14:paraId="1062AC0F">
      <w:pPr>
        <w:pStyle w:val="12"/>
        <w:keepNext w:val="0"/>
        <w:keepLines w:val="0"/>
        <w:pageBreakBefore w:val="0"/>
        <w:widowControl/>
        <w:kinsoku/>
        <w:wordWrap/>
        <w:overflowPunct/>
        <w:topLinePunct w:val="0"/>
        <w:autoSpaceDE/>
        <w:autoSpaceDN/>
        <w:bidi w:val="0"/>
        <w:adjustRightInd/>
        <w:snapToGrid/>
        <w:spacing w:before="157" w:beforeLines="50" w:after="157" w:afterLines="50"/>
        <w:ind w:left="0"/>
        <w:textAlignment w:val="auto"/>
        <w:rPr>
          <w:rFonts w:hint="eastAsia" w:ascii="宋体" w:hAnsi="宋体" w:eastAsia="宋体" w:cs="宋体"/>
          <w:bCs/>
          <w:highlight w:val="none"/>
        </w:rPr>
      </w:pPr>
      <w:r>
        <w:rPr>
          <w:rFonts w:hint="eastAsia" w:ascii="宋体" w:hAnsi="宋体" w:eastAsia="宋体" w:cs="宋体"/>
          <w:bCs/>
          <w:highlight w:val="none"/>
        </w:rPr>
        <w:t>卫生指标</w:t>
      </w:r>
    </w:p>
    <w:p w14:paraId="2C31C3A1">
      <w:pPr>
        <w:pStyle w:val="9"/>
        <w:keepNext w:val="0"/>
        <w:keepLines w:val="0"/>
        <w:pageBreakBefore w:val="0"/>
        <w:kinsoku/>
        <w:wordWrap/>
        <w:overflowPunct/>
        <w:topLinePunct w:val="0"/>
        <w:bidi w:val="0"/>
        <w:adjustRightInd/>
        <w:snapToGrid/>
        <w:textAlignment w:val="auto"/>
        <w:rPr>
          <w:rFonts w:hint="eastAsia" w:ascii="宋体" w:hAnsi="宋体" w:eastAsia="宋体" w:cs="宋体"/>
          <w:highlight w:val="none"/>
        </w:rPr>
      </w:pPr>
      <w:r>
        <w:rPr>
          <w:rFonts w:hint="eastAsia" w:ascii="宋体" w:hAnsi="宋体" w:eastAsia="宋体" w:cs="宋体"/>
          <w:highlight w:val="none"/>
        </w:rPr>
        <w:t>应符合</w:t>
      </w:r>
      <w:bookmarkStart w:id="1" w:name="OLE_LINK4"/>
      <w:r>
        <w:rPr>
          <w:rFonts w:hint="eastAsia" w:ascii="宋体" w:hAnsi="宋体" w:eastAsia="宋体" w:cs="宋体"/>
          <w:highlight w:val="none"/>
        </w:rPr>
        <w:t>GB 13078</w:t>
      </w:r>
      <w:bookmarkEnd w:id="1"/>
      <w:r>
        <w:rPr>
          <w:rFonts w:hint="eastAsia" w:ascii="宋体" w:hAnsi="宋体" w:eastAsia="宋体" w:cs="宋体"/>
          <w:highlight w:val="none"/>
        </w:rPr>
        <w:t>的规定。</w:t>
      </w:r>
    </w:p>
    <w:p w14:paraId="5DD04B55">
      <w:pPr>
        <w:pStyle w:val="11"/>
        <w:keepNext w:val="0"/>
        <w:keepLines w:val="0"/>
        <w:pageBreakBefore w:val="0"/>
        <w:widowControl/>
        <w:kinsoku/>
        <w:wordWrap/>
        <w:overflowPunct/>
        <w:topLinePunct w:val="0"/>
        <w:autoSpaceDE/>
        <w:autoSpaceDN/>
        <w:bidi w:val="0"/>
        <w:adjustRightInd/>
        <w:snapToGrid/>
        <w:spacing w:before="157" w:beforeLines="50" w:after="157" w:afterLines="50"/>
        <w:ind w:left="0"/>
        <w:textAlignment w:val="auto"/>
        <w:rPr>
          <w:rFonts w:hint="eastAsia" w:ascii="宋体" w:hAnsi="宋体" w:eastAsia="宋体" w:cs="宋体"/>
          <w:highlight w:val="none"/>
        </w:rPr>
      </w:pPr>
      <w:r>
        <w:rPr>
          <w:rFonts w:hint="eastAsia" w:ascii="宋体" w:hAnsi="宋体" w:eastAsia="宋体" w:cs="宋体"/>
          <w:highlight w:val="none"/>
        </w:rPr>
        <w:t>取样</w:t>
      </w:r>
    </w:p>
    <w:p w14:paraId="1CFC5216">
      <w:pPr>
        <w:pStyle w:val="9"/>
        <w:keepNext w:val="0"/>
        <w:keepLines w:val="0"/>
        <w:pageBreakBefore w:val="0"/>
        <w:kinsoku/>
        <w:wordWrap/>
        <w:overflowPunct/>
        <w:topLinePunct w:val="0"/>
        <w:bidi w:val="0"/>
        <w:adjustRightInd/>
        <w:snapToGrid/>
        <w:textAlignment w:val="auto"/>
        <w:rPr>
          <w:rFonts w:hint="eastAsia" w:ascii="宋体" w:hAnsi="宋体" w:eastAsia="宋体" w:cs="宋体"/>
          <w:color w:val="000000"/>
          <w:highlight w:val="none"/>
        </w:rPr>
      </w:pPr>
      <w:r>
        <w:rPr>
          <w:rFonts w:hint="eastAsia" w:ascii="宋体" w:hAnsi="宋体" w:eastAsia="宋体" w:cs="宋体"/>
          <w:color w:val="000000"/>
          <w:highlight w:val="none"/>
        </w:rPr>
        <w:t>按GB/T 14699的规定执行。</w:t>
      </w:r>
    </w:p>
    <w:p w14:paraId="4BFA92DE">
      <w:pPr>
        <w:pStyle w:val="11"/>
        <w:keepNext w:val="0"/>
        <w:keepLines w:val="0"/>
        <w:pageBreakBefore w:val="0"/>
        <w:widowControl/>
        <w:kinsoku/>
        <w:wordWrap/>
        <w:overflowPunct/>
        <w:topLinePunct w:val="0"/>
        <w:autoSpaceDE/>
        <w:autoSpaceDN/>
        <w:bidi w:val="0"/>
        <w:adjustRightInd/>
        <w:snapToGrid/>
        <w:spacing w:before="157" w:beforeLines="50" w:after="157" w:afterLines="50"/>
        <w:ind w:left="0"/>
        <w:jc w:val="left"/>
        <w:textAlignment w:val="auto"/>
        <w:rPr>
          <w:rFonts w:hint="eastAsia" w:ascii="宋体" w:hAnsi="宋体" w:eastAsia="宋体" w:cs="宋体"/>
          <w:bCs/>
          <w:highlight w:val="none"/>
        </w:rPr>
      </w:pPr>
      <w:r>
        <w:rPr>
          <w:rFonts w:hint="eastAsia" w:ascii="宋体" w:hAnsi="宋体" w:eastAsia="宋体" w:cs="宋体"/>
          <w:bCs/>
          <w:highlight w:val="none"/>
        </w:rPr>
        <w:t>试验方法</w:t>
      </w:r>
    </w:p>
    <w:p w14:paraId="2A906384">
      <w:pPr>
        <w:pStyle w:val="12"/>
        <w:keepNext w:val="0"/>
        <w:keepLines w:val="0"/>
        <w:pageBreakBefore w:val="0"/>
        <w:widowControl/>
        <w:kinsoku/>
        <w:wordWrap/>
        <w:overflowPunct/>
        <w:topLinePunct w:val="0"/>
        <w:autoSpaceDE/>
        <w:autoSpaceDN/>
        <w:bidi w:val="0"/>
        <w:adjustRightInd/>
        <w:snapToGrid/>
        <w:spacing w:before="157" w:beforeLines="50" w:after="157" w:afterLines="50"/>
        <w:ind w:left="0"/>
        <w:textAlignment w:val="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lang w:val="en-US" w:eastAsia="zh-CN"/>
          <w14:textFill>
            <w14:solidFill>
              <w14:schemeClr w14:val="tx1"/>
            </w14:solidFill>
          </w14:textFill>
        </w:rPr>
        <w:t>CP的测定</w:t>
      </w:r>
    </w:p>
    <w:p w14:paraId="6EA60AE6">
      <w:pPr>
        <w:pStyle w:val="9"/>
        <w:keepNext w:val="0"/>
        <w:keepLines w:val="0"/>
        <w:pageBreakBefore w:val="0"/>
        <w:kinsoku/>
        <w:wordWrap/>
        <w:overflowPunct/>
        <w:topLinePunct w:val="0"/>
        <w:bidi w:val="0"/>
        <w:adjustRightInd/>
        <w:snapToGrid/>
        <w:textAlignment w:val="auto"/>
        <w:rPr>
          <w:rFonts w:hint="eastAsia" w:ascii="宋体" w:hAnsi="宋体" w:eastAsia="宋体" w:cs="宋体"/>
          <w:szCs w:val="20"/>
          <w:highlight w:val="none"/>
          <w:lang w:val="en-US" w:eastAsia="zh-CN"/>
        </w:rPr>
      </w:pPr>
      <w:r>
        <w:rPr>
          <w:rFonts w:hint="eastAsia" w:ascii="宋体" w:hAnsi="宋体" w:eastAsia="宋体" w:cs="宋体"/>
          <w:color w:val="000000" w:themeColor="text1"/>
          <w:highlight w:val="none"/>
          <w14:textFill>
            <w14:solidFill>
              <w14:schemeClr w14:val="tx1"/>
            </w14:solidFill>
          </w14:textFill>
        </w:rPr>
        <w:t>按GB/T 6432或GB/T 18868的规定执行，其中GB/T 6432为仲裁方法。</w:t>
      </w:r>
    </w:p>
    <w:p w14:paraId="63087270">
      <w:pPr>
        <w:pStyle w:val="12"/>
        <w:keepNext w:val="0"/>
        <w:keepLines w:val="0"/>
        <w:pageBreakBefore w:val="0"/>
        <w:widowControl/>
        <w:kinsoku/>
        <w:wordWrap/>
        <w:overflowPunct/>
        <w:topLinePunct w:val="0"/>
        <w:autoSpaceDE/>
        <w:autoSpaceDN/>
        <w:bidi w:val="0"/>
        <w:adjustRightInd/>
        <w:snapToGrid/>
        <w:spacing w:before="157" w:beforeLines="50" w:after="157" w:afterLines="50"/>
        <w:ind w:left="0"/>
        <w:textAlignment w:val="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lang w:val="en-US" w:eastAsia="zh-CN"/>
          <w14:textFill>
            <w14:solidFill>
              <w14:schemeClr w14:val="tx1"/>
            </w14:solidFill>
          </w14:textFill>
        </w:rPr>
        <w:t>NH</w:t>
      </w:r>
      <w:r>
        <w:rPr>
          <w:rFonts w:hint="eastAsia" w:ascii="宋体" w:hAnsi="宋体" w:eastAsia="宋体" w:cs="宋体"/>
          <w:bCs/>
          <w:color w:val="000000" w:themeColor="text1"/>
          <w:highlight w:val="none"/>
          <w:vertAlign w:val="subscript"/>
          <w:lang w:val="en-US" w:eastAsia="zh-CN"/>
          <w14:textFill>
            <w14:solidFill>
              <w14:schemeClr w14:val="tx1"/>
            </w14:solidFill>
          </w14:textFill>
        </w:rPr>
        <w:t>3</w:t>
      </w:r>
      <w:r>
        <w:rPr>
          <w:rFonts w:hint="eastAsia" w:ascii="宋体" w:hAnsi="宋体" w:eastAsia="宋体" w:cs="宋体"/>
          <w:bCs/>
          <w:color w:val="000000" w:themeColor="text1"/>
          <w:highlight w:val="none"/>
          <w:lang w:val="en-US" w:eastAsia="zh-CN"/>
          <w14:textFill>
            <w14:solidFill>
              <w14:schemeClr w14:val="tx1"/>
            </w14:solidFill>
          </w14:textFill>
        </w:rPr>
        <w:t>-N的测定</w:t>
      </w:r>
    </w:p>
    <w:p w14:paraId="44FA877A">
      <w:pPr>
        <w:pStyle w:val="9"/>
        <w:keepNext w:val="0"/>
        <w:keepLines w:val="0"/>
        <w:pageBreakBefore w:val="0"/>
        <w:kinsoku/>
        <w:wordWrap/>
        <w:overflowPunct/>
        <w:topLinePunct w:val="0"/>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按</w:t>
      </w:r>
      <w:r>
        <w:rPr>
          <w:rFonts w:hint="eastAsia" w:ascii="宋体" w:hAnsi="宋体" w:eastAsia="宋体" w:cs="宋体"/>
          <w:i w:val="0"/>
          <w:iCs w:val="0"/>
          <w:caps w:val="0"/>
          <w:color w:val="333333"/>
          <w:spacing w:val="0"/>
          <w:sz w:val="21"/>
          <w:szCs w:val="21"/>
          <w:highlight w:val="none"/>
          <w:shd w:val="clear" w:fill="FFFFFF"/>
        </w:rPr>
        <w:t>DB15/T 1458-2018</w:t>
      </w:r>
      <w:r>
        <w:rPr>
          <w:rFonts w:hint="eastAsia" w:ascii="宋体" w:hAnsi="宋体" w:eastAsia="宋体" w:cs="宋体"/>
          <w:color w:val="000000" w:themeColor="text1"/>
          <w:highlight w:val="none"/>
          <w14:textFill>
            <w14:solidFill>
              <w14:schemeClr w14:val="tx1"/>
            </w14:solidFill>
          </w14:textFill>
        </w:rPr>
        <w:t>的规定执行。</w:t>
      </w:r>
    </w:p>
    <w:p w14:paraId="0AECC017">
      <w:pPr>
        <w:pStyle w:val="12"/>
        <w:keepNext w:val="0"/>
        <w:keepLines w:val="0"/>
        <w:pageBreakBefore w:val="0"/>
        <w:widowControl/>
        <w:kinsoku/>
        <w:wordWrap/>
        <w:overflowPunct/>
        <w:topLinePunct w:val="0"/>
        <w:autoSpaceDE/>
        <w:autoSpaceDN/>
        <w:bidi w:val="0"/>
        <w:adjustRightInd/>
        <w:snapToGrid/>
        <w:spacing w:before="157" w:beforeLines="50" w:after="157" w:afterLines="50"/>
        <w:ind w:left="0"/>
        <w:textAlignment w:val="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lang w:val="en-US" w:eastAsia="zh-CN"/>
          <w14:textFill>
            <w14:solidFill>
              <w14:schemeClr w14:val="tx1"/>
            </w14:solidFill>
          </w14:textFill>
        </w:rPr>
        <w:t>pH</w:t>
      </w:r>
    </w:p>
    <w:p w14:paraId="07E49C4C">
      <w:pPr>
        <w:pStyle w:val="9"/>
        <w:keepNext w:val="0"/>
        <w:keepLines w:val="0"/>
        <w:pageBreakBefore w:val="0"/>
        <w:kinsoku/>
        <w:wordWrap/>
        <w:overflowPunct/>
        <w:topLinePunct w:val="0"/>
        <w:bidi w:val="0"/>
        <w:adjustRightInd/>
        <w:snapToGrid/>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按</w:t>
      </w:r>
      <w:r>
        <w:rPr>
          <w:rFonts w:hint="eastAsia" w:ascii="宋体" w:hAnsi="宋体" w:eastAsia="宋体" w:cs="宋体"/>
          <w:i w:val="0"/>
          <w:iCs w:val="0"/>
          <w:caps w:val="0"/>
          <w:color w:val="333333"/>
          <w:spacing w:val="0"/>
          <w:sz w:val="21"/>
          <w:szCs w:val="21"/>
          <w:highlight w:val="none"/>
          <w:shd w:val="clear" w:fill="FFFFFF"/>
        </w:rPr>
        <w:t>DB15/T 1458-2018</w:t>
      </w:r>
      <w:r>
        <w:rPr>
          <w:rFonts w:hint="eastAsia" w:ascii="宋体" w:hAnsi="宋体" w:eastAsia="宋体" w:cs="宋体"/>
          <w:color w:val="000000" w:themeColor="text1"/>
          <w:highlight w:val="none"/>
          <w14:textFill>
            <w14:solidFill>
              <w14:schemeClr w14:val="tx1"/>
            </w14:solidFill>
          </w14:textFill>
        </w:rPr>
        <w:t>的规定执行</w:t>
      </w:r>
      <w:r>
        <w:rPr>
          <w:rFonts w:hint="eastAsia" w:hAnsi="宋体" w:cs="宋体"/>
          <w:color w:val="000000" w:themeColor="text1"/>
          <w:highlight w:val="none"/>
          <w:lang w:eastAsia="zh-CN"/>
          <w14:textFill>
            <w14:solidFill>
              <w14:schemeClr w14:val="tx1"/>
            </w14:solidFill>
          </w14:textFill>
        </w:rPr>
        <w:t>。</w:t>
      </w:r>
    </w:p>
    <w:p w14:paraId="3DCDE395">
      <w:pPr>
        <w:pStyle w:val="12"/>
        <w:keepNext w:val="0"/>
        <w:keepLines w:val="0"/>
        <w:pageBreakBefore w:val="0"/>
        <w:widowControl/>
        <w:kinsoku/>
        <w:wordWrap/>
        <w:overflowPunct/>
        <w:topLinePunct w:val="0"/>
        <w:autoSpaceDE/>
        <w:autoSpaceDN/>
        <w:bidi w:val="0"/>
        <w:adjustRightInd/>
        <w:snapToGrid/>
        <w:spacing w:before="157" w:beforeLines="50" w:after="157" w:afterLines="50"/>
        <w:ind w:left="0"/>
        <w:textAlignment w:val="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lang w:val="en-US" w:eastAsia="zh-CN"/>
          <w14:textFill>
            <w14:solidFill>
              <w14:schemeClr w14:val="tx1"/>
            </w14:solidFill>
          </w14:textFill>
        </w:rPr>
        <w:t>单宁</w:t>
      </w:r>
    </w:p>
    <w:p w14:paraId="20852812">
      <w:pPr>
        <w:pStyle w:val="9"/>
        <w:keepNext w:val="0"/>
        <w:keepLines w:val="0"/>
        <w:pageBreakBefore w:val="0"/>
        <w:kinsoku/>
        <w:wordWrap/>
        <w:overflowPunct/>
        <w:topLinePunct w:val="0"/>
        <w:bidi w:val="0"/>
        <w:adjustRightInd/>
        <w:snapToGrid/>
        <w:textAlignment w:val="auto"/>
        <w:rPr>
          <w:rFonts w:hint="eastAsia" w:ascii="宋体" w:hAnsi="宋体" w:eastAsia="宋体" w:cs="宋体"/>
          <w:color w:val="0000FF"/>
          <w:highlight w:val="none"/>
          <w:lang w:val="en-US"/>
        </w:rPr>
      </w:pPr>
      <w:r>
        <w:rPr>
          <w:rFonts w:hint="eastAsia" w:ascii="宋体" w:hAnsi="宋体" w:eastAsia="宋体" w:cs="宋体"/>
          <w:highlight w:val="none"/>
        </w:rPr>
        <w:t>按GB/T</w:t>
      </w:r>
      <w:r>
        <w:rPr>
          <w:rFonts w:hint="eastAsia" w:ascii="宋体" w:hAnsi="宋体" w:eastAsia="宋体" w:cs="宋体"/>
          <w:highlight w:val="none"/>
          <w:lang w:val="en-US" w:eastAsia="zh-CN"/>
        </w:rPr>
        <w:t xml:space="preserve"> </w:t>
      </w:r>
      <w:r>
        <w:rPr>
          <w:rFonts w:hint="eastAsia" w:hAnsi="宋体" w:cs="宋体"/>
          <w:highlight w:val="none"/>
          <w:lang w:val="en-US" w:eastAsia="zh-CN"/>
        </w:rPr>
        <w:t>27985-2011</w:t>
      </w:r>
      <w:r>
        <w:rPr>
          <w:rFonts w:hint="eastAsia" w:ascii="宋体" w:hAnsi="宋体" w:eastAsia="宋体" w:cs="宋体"/>
          <w:highlight w:val="none"/>
          <w:lang w:val="en-US" w:eastAsia="zh-CN"/>
        </w:rPr>
        <w:t>的规定执行</w:t>
      </w:r>
    </w:p>
    <w:p w14:paraId="7BE14A99">
      <w:pPr>
        <w:pStyle w:val="12"/>
        <w:keepNext w:val="0"/>
        <w:keepLines w:val="0"/>
        <w:pageBreakBefore w:val="0"/>
        <w:widowControl/>
        <w:kinsoku/>
        <w:wordWrap/>
        <w:overflowPunct/>
        <w:topLinePunct w:val="0"/>
        <w:autoSpaceDE/>
        <w:autoSpaceDN/>
        <w:bidi w:val="0"/>
        <w:adjustRightInd/>
        <w:snapToGrid/>
        <w:spacing w:before="157" w:beforeLines="50" w:after="157" w:afterLines="50"/>
        <w:ind w:left="0"/>
        <w:textAlignment w:val="auto"/>
        <w:rPr>
          <w:rFonts w:hint="eastAsia" w:ascii="宋体" w:hAnsi="宋体" w:eastAsia="宋体" w:cs="宋体"/>
          <w:highlight w:val="none"/>
        </w:rPr>
      </w:pPr>
      <w:r>
        <w:rPr>
          <w:rFonts w:hint="eastAsia" w:ascii="宋体" w:hAnsi="宋体" w:eastAsia="宋体" w:cs="宋体"/>
          <w:highlight w:val="none"/>
        </w:rPr>
        <w:t>卫生指标</w:t>
      </w:r>
    </w:p>
    <w:p w14:paraId="3B208EF3">
      <w:pPr>
        <w:pStyle w:val="9"/>
        <w:keepNext w:val="0"/>
        <w:keepLines w:val="0"/>
        <w:pageBreakBefore w:val="0"/>
        <w:kinsoku/>
        <w:wordWrap/>
        <w:overflowPunct/>
        <w:topLinePunct w:val="0"/>
        <w:bidi w:val="0"/>
        <w:adjustRightInd/>
        <w:snapToGrid/>
        <w:textAlignment w:val="auto"/>
        <w:rPr>
          <w:rFonts w:hint="eastAsia"/>
          <w:highlight w:val="none"/>
        </w:rPr>
      </w:pPr>
      <w:r>
        <w:rPr>
          <w:rFonts w:hint="eastAsia" w:ascii="宋体" w:hAnsi="宋体" w:eastAsia="宋体" w:cs="宋体"/>
          <w:highlight w:val="none"/>
        </w:rPr>
        <w:t>按GB 13078的规定执行。</w:t>
      </w:r>
    </w:p>
    <w:p w14:paraId="453FFA47">
      <w:pPr>
        <w:pStyle w:val="12"/>
        <w:keepNext w:val="0"/>
        <w:keepLines w:val="0"/>
        <w:pageBreakBefore w:val="0"/>
        <w:widowControl/>
        <w:kinsoku/>
        <w:wordWrap/>
        <w:overflowPunct/>
        <w:topLinePunct w:val="0"/>
        <w:autoSpaceDE/>
        <w:autoSpaceDN/>
        <w:bidi w:val="0"/>
        <w:adjustRightInd/>
        <w:snapToGrid/>
        <w:spacing w:before="157" w:beforeLines="50" w:after="157" w:afterLines="50"/>
        <w:ind w:left="0"/>
        <w:textAlignment w:val="auto"/>
        <w:rPr>
          <w:rFonts w:hint="eastAsia"/>
        </w:rPr>
      </w:pPr>
      <w:r>
        <w:rPr>
          <w:rFonts w:hint="eastAsia" w:ascii="宋体" w:hAnsi="宋体" w:eastAsia="宋体" w:cs="宋体"/>
          <w:lang w:val="en-US" w:eastAsia="zh-CN"/>
        </w:rPr>
        <w:t>水分的测定</w:t>
      </w:r>
    </w:p>
    <w:p w14:paraId="1F7699B2">
      <w:pPr>
        <w:pStyle w:val="9"/>
        <w:rPr>
          <w:rFonts w:hint="eastAsia" w:hAnsi="宋体"/>
          <w:szCs w:val="21"/>
          <w:lang w:val="en-US" w:eastAsia="zh-CN"/>
        </w:rPr>
      </w:pPr>
      <w:r>
        <w:rPr>
          <w:rFonts w:hint="eastAsia" w:hAnsi="宋体"/>
          <w:szCs w:val="21"/>
          <w:lang w:val="en-US" w:eastAsia="zh-CN"/>
        </w:rPr>
        <w:t>按照</w:t>
      </w:r>
      <w:r>
        <w:rPr>
          <w:rFonts w:hint="eastAsia" w:ascii="宋体" w:hAnsi="宋体"/>
          <w:szCs w:val="21"/>
          <w:lang w:val="en-US" w:eastAsia="zh-CN"/>
        </w:rPr>
        <w:t xml:space="preserve">GB/T 6435 </w:t>
      </w:r>
      <w:r>
        <w:rPr>
          <w:rFonts w:hint="eastAsia" w:hAnsi="宋体"/>
          <w:szCs w:val="21"/>
          <w:lang w:val="en-US" w:eastAsia="zh-CN"/>
        </w:rPr>
        <w:t>执行</w:t>
      </w:r>
    </w:p>
    <w:p w14:paraId="2A6F8238">
      <w:pPr>
        <w:pStyle w:val="12"/>
        <w:keepNext w:val="0"/>
        <w:keepLines w:val="0"/>
        <w:pageBreakBefore w:val="0"/>
        <w:widowControl/>
        <w:kinsoku/>
        <w:wordWrap/>
        <w:overflowPunct/>
        <w:topLinePunct w:val="0"/>
        <w:autoSpaceDE/>
        <w:autoSpaceDN/>
        <w:bidi w:val="0"/>
        <w:adjustRightInd/>
        <w:snapToGrid/>
        <w:spacing w:before="157" w:beforeLines="50" w:after="157" w:afterLines="50"/>
        <w:ind w:left="0"/>
        <w:textAlignment w:val="auto"/>
        <w:rPr>
          <w:rFonts w:hint="eastAsia"/>
        </w:rPr>
      </w:pPr>
      <w:r>
        <w:rPr>
          <w:rFonts w:hint="eastAsia" w:ascii="宋体" w:hAnsi="宋体" w:eastAsia="宋体" w:cs="宋体"/>
          <w:lang w:val="en-US" w:eastAsia="zh-CN"/>
        </w:rPr>
        <w:t>ASH的测定</w:t>
      </w:r>
    </w:p>
    <w:p w14:paraId="2BB7F6D2">
      <w:pPr>
        <w:pStyle w:val="9"/>
        <w:rPr>
          <w:rFonts w:hint="eastAsia" w:hAnsi="宋体"/>
          <w:szCs w:val="21"/>
          <w:lang w:val="en-US" w:eastAsia="zh-CN"/>
        </w:rPr>
      </w:pPr>
      <w:r>
        <w:rPr>
          <w:rFonts w:hint="eastAsia" w:hAnsi="宋体"/>
          <w:szCs w:val="21"/>
          <w:lang w:val="en-US" w:eastAsia="zh-CN"/>
        </w:rPr>
        <w:t>按照</w:t>
      </w:r>
      <w:r>
        <w:rPr>
          <w:rFonts w:hint="default" w:ascii="Times New Roman" w:hAnsi="Times New Roman" w:eastAsia="宋体" w:cs="Times New Roman"/>
          <w:szCs w:val="21"/>
          <w:highlight w:val="none"/>
        </w:rPr>
        <w:t>GB/T 643</w:t>
      </w:r>
      <w:r>
        <w:rPr>
          <w:rFonts w:hint="eastAsia" w:cs="Times New Roman"/>
          <w:szCs w:val="21"/>
          <w:highlight w:val="none"/>
          <w:lang w:val="en-US" w:eastAsia="zh-CN"/>
        </w:rPr>
        <w:t>8</w:t>
      </w:r>
      <w:r>
        <w:rPr>
          <w:rFonts w:hint="eastAsia" w:ascii="宋体" w:hAnsi="宋体"/>
          <w:szCs w:val="21"/>
          <w:lang w:val="en-US" w:eastAsia="zh-CN"/>
        </w:rPr>
        <w:t xml:space="preserve"> </w:t>
      </w:r>
      <w:r>
        <w:rPr>
          <w:rFonts w:hint="eastAsia" w:hAnsi="宋体"/>
          <w:szCs w:val="21"/>
          <w:lang w:val="en-US" w:eastAsia="zh-CN"/>
        </w:rPr>
        <w:t>执行</w:t>
      </w:r>
    </w:p>
    <w:p w14:paraId="7D902614">
      <w:pPr>
        <w:pStyle w:val="12"/>
        <w:keepNext w:val="0"/>
        <w:keepLines w:val="0"/>
        <w:pageBreakBefore w:val="0"/>
        <w:widowControl/>
        <w:kinsoku/>
        <w:wordWrap/>
        <w:overflowPunct/>
        <w:topLinePunct w:val="0"/>
        <w:autoSpaceDE/>
        <w:autoSpaceDN/>
        <w:bidi w:val="0"/>
        <w:adjustRightInd/>
        <w:snapToGrid/>
        <w:spacing w:before="157" w:beforeLines="50" w:after="157" w:afterLines="50"/>
        <w:ind w:left="0"/>
        <w:textAlignment w:val="auto"/>
        <w:rPr>
          <w:rFonts w:hint="eastAsia"/>
        </w:rPr>
      </w:pPr>
      <w:r>
        <w:rPr>
          <w:rFonts w:hint="eastAsia" w:ascii="宋体" w:hAnsi="宋体" w:eastAsia="宋体" w:cs="宋体"/>
          <w:lang w:val="en-US" w:eastAsia="zh-CN"/>
        </w:rPr>
        <w:t>ADF的测定</w:t>
      </w:r>
    </w:p>
    <w:p w14:paraId="12A3D2BA">
      <w:pPr>
        <w:pStyle w:val="9"/>
        <w:rPr>
          <w:rFonts w:hint="eastAsia" w:hAnsi="宋体"/>
          <w:szCs w:val="21"/>
          <w:lang w:val="en-US" w:eastAsia="zh-CN"/>
        </w:rPr>
      </w:pPr>
      <w:r>
        <w:rPr>
          <w:rFonts w:hint="eastAsia" w:hAnsi="宋体"/>
          <w:szCs w:val="21"/>
          <w:lang w:val="en-US" w:eastAsia="zh-CN"/>
        </w:rPr>
        <w:t>按照</w:t>
      </w:r>
      <w:r>
        <w:rPr>
          <w:rFonts w:hint="default" w:ascii="Times New Roman" w:hAnsi="Times New Roman" w:eastAsia="宋体" w:cs="Times New Roman"/>
          <w:i w:val="0"/>
          <w:iCs w:val="0"/>
          <w:caps w:val="0"/>
          <w:color w:val="333333"/>
          <w:spacing w:val="0"/>
          <w:sz w:val="21"/>
          <w:szCs w:val="21"/>
          <w:highlight w:val="none"/>
          <w:shd w:val="clear" w:fill="FFFFFF"/>
          <w:lang w:val="en-US" w:eastAsia="zh-CN"/>
        </w:rPr>
        <w:t xml:space="preserve">GB/T </w:t>
      </w:r>
      <w:r>
        <w:rPr>
          <w:rFonts w:hint="eastAsia" w:ascii="Times New Roman" w:hAnsi="Times New Roman" w:eastAsia="宋体" w:cs="Times New Roman"/>
          <w:i w:val="0"/>
          <w:iCs w:val="0"/>
          <w:caps w:val="0"/>
          <w:color w:val="333333"/>
          <w:spacing w:val="0"/>
          <w:sz w:val="21"/>
          <w:szCs w:val="21"/>
          <w:highlight w:val="none"/>
          <w:shd w:val="clear" w:fill="FFFFFF"/>
          <w:lang w:val="en-US" w:eastAsia="zh-CN"/>
        </w:rPr>
        <w:t>20805-2006</w:t>
      </w:r>
      <w:r>
        <w:rPr>
          <w:rFonts w:hint="eastAsia" w:hAnsi="宋体"/>
          <w:szCs w:val="21"/>
          <w:lang w:val="en-US" w:eastAsia="zh-CN"/>
        </w:rPr>
        <w:t>执行</w:t>
      </w:r>
    </w:p>
    <w:p w14:paraId="4CA3762A">
      <w:pPr>
        <w:pStyle w:val="12"/>
        <w:keepNext w:val="0"/>
        <w:keepLines w:val="0"/>
        <w:pageBreakBefore w:val="0"/>
        <w:widowControl/>
        <w:kinsoku/>
        <w:wordWrap/>
        <w:overflowPunct/>
        <w:topLinePunct w:val="0"/>
        <w:autoSpaceDE/>
        <w:autoSpaceDN/>
        <w:bidi w:val="0"/>
        <w:adjustRightInd/>
        <w:snapToGrid/>
        <w:spacing w:before="157" w:beforeLines="50" w:after="157" w:afterLines="50"/>
        <w:ind w:left="0"/>
        <w:textAlignment w:val="auto"/>
        <w:rPr>
          <w:rFonts w:hint="eastAsia"/>
        </w:rPr>
      </w:pPr>
      <w:r>
        <w:rPr>
          <w:rFonts w:hint="eastAsia" w:ascii="宋体" w:hAnsi="宋体" w:eastAsia="宋体" w:cs="宋体"/>
          <w:lang w:val="en-US" w:eastAsia="zh-CN"/>
        </w:rPr>
        <w:t>NDF的测定</w:t>
      </w:r>
    </w:p>
    <w:p w14:paraId="2E28B61D">
      <w:pPr>
        <w:pStyle w:val="9"/>
        <w:rPr>
          <w:rFonts w:hint="eastAsia" w:hAnsi="宋体"/>
          <w:szCs w:val="21"/>
          <w:lang w:val="en-US" w:eastAsia="zh-CN"/>
        </w:rPr>
      </w:pPr>
      <w:r>
        <w:rPr>
          <w:rFonts w:hint="eastAsia" w:hAnsi="宋体"/>
          <w:szCs w:val="21"/>
          <w:lang w:val="en-US" w:eastAsia="zh-CN"/>
        </w:rPr>
        <w:t>按照</w:t>
      </w:r>
      <w:r>
        <w:rPr>
          <w:rFonts w:hint="eastAsia" w:ascii="Times New Roman" w:hAnsi="Times New Roman" w:eastAsia="宋体" w:cs="Times New Roman"/>
          <w:i w:val="0"/>
          <w:iCs w:val="0"/>
          <w:caps w:val="0"/>
          <w:color w:val="333333"/>
          <w:spacing w:val="0"/>
          <w:sz w:val="21"/>
          <w:szCs w:val="21"/>
          <w:highlight w:val="none"/>
          <w:shd w:val="clear" w:fill="FFFFFF"/>
          <w:lang w:val="en-US" w:eastAsia="zh-CN"/>
        </w:rPr>
        <w:t>NY/T 1459-2007</w:t>
      </w:r>
      <w:r>
        <w:rPr>
          <w:rFonts w:hint="eastAsia" w:hAnsi="宋体"/>
          <w:szCs w:val="21"/>
          <w:lang w:val="en-US" w:eastAsia="zh-CN"/>
        </w:rPr>
        <w:t>执行</w:t>
      </w:r>
    </w:p>
    <w:p w14:paraId="719CB633">
      <w:pPr>
        <w:pStyle w:val="12"/>
        <w:keepNext w:val="0"/>
        <w:keepLines w:val="0"/>
        <w:pageBreakBefore w:val="0"/>
        <w:widowControl/>
        <w:kinsoku/>
        <w:wordWrap/>
        <w:overflowPunct/>
        <w:topLinePunct w:val="0"/>
        <w:autoSpaceDE/>
        <w:autoSpaceDN/>
        <w:bidi w:val="0"/>
        <w:adjustRightInd/>
        <w:snapToGrid/>
        <w:spacing w:before="157" w:beforeLines="50" w:after="157" w:afterLines="50"/>
        <w:ind w:left="0"/>
        <w:textAlignment w:val="auto"/>
        <w:rPr>
          <w:rFonts w:hint="eastAsia"/>
        </w:rPr>
      </w:pPr>
      <w:r>
        <w:rPr>
          <w:rFonts w:hint="eastAsia" w:ascii="宋体" w:hAnsi="宋体" w:eastAsia="宋体" w:cs="宋体"/>
          <w:lang w:val="en-US" w:eastAsia="zh-CN"/>
        </w:rPr>
        <w:t>WSC的测定</w:t>
      </w:r>
    </w:p>
    <w:p w14:paraId="2F0FCCC8">
      <w:pPr>
        <w:pStyle w:val="9"/>
        <w:rPr>
          <w:rFonts w:hint="eastAsia" w:hAnsi="宋体"/>
          <w:szCs w:val="21"/>
          <w:lang w:val="en-US" w:eastAsia="zh-CN"/>
        </w:rPr>
      </w:pPr>
      <w:r>
        <w:rPr>
          <w:rFonts w:hint="eastAsia" w:hAnsi="宋体"/>
          <w:szCs w:val="21"/>
          <w:lang w:val="en-US" w:eastAsia="zh-CN"/>
        </w:rPr>
        <w:t>按照</w:t>
      </w:r>
      <w:r>
        <w:rPr>
          <w:rFonts w:hint="eastAsia" w:ascii="Times New Roman" w:hAnsi="Times New Roman" w:eastAsia="宋体" w:cs="Times New Roman"/>
          <w:i w:val="0"/>
          <w:iCs w:val="0"/>
          <w:caps w:val="0"/>
          <w:color w:val="333333"/>
          <w:spacing w:val="0"/>
          <w:sz w:val="21"/>
          <w:szCs w:val="21"/>
          <w:highlight w:val="none"/>
          <w:shd w:val="clear" w:fill="FFFFFF"/>
          <w:lang w:val="en-US" w:eastAsia="zh-CN"/>
        </w:rPr>
        <w:t>T/HXCY 02302921</w:t>
      </w:r>
      <w:r>
        <w:rPr>
          <w:rFonts w:hint="eastAsia" w:hAnsi="宋体"/>
          <w:szCs w:val="21"/>
          <w:lang w:val="en-US" w:eastAsia="zh-CN"/>
        </w:rPr>
        <w:t>执行</w:t>
      </w:r>
    </w:p>
    <w:p w14:paraId="643717AC">
      <w:pPr>
        <w:pStyle w:val="12"/>
        <w:keepNext w:val="0"/>
        <w:keepLines w:val="0"/>
        <w:pageBreakBefore w:val="0"/>
        <w:widowControl/>
        <w:kinsoku/>
        <w:wordWrap/>
        <w:overflowPunct/>
        <w:topLinePunct w:val="0"/>
        <w:autoSpaceDE/>
        <w:autoSpaceDN/>
        <w:bidi w:val="0"/>
        <w:adjustRightInd/>
        <w:snapToGrid/>
        <w:spacing w:before="157" w:beforeLines="50" w:after="157" w:afterLines="50"/>
        <w:ind w:left="0"/>
        <w:textAlignment w:val="auto"/>
        <w:rPr>
          <w:rFonts w:hint="eastAsia"/>
        </w:rPr>
      </w:pPr>
      <w:r>
        <w:rPr>
          <w:rFonts w:hint="eastAsia" w:ascii="宋体" w:hAnsi="宋体" w:eastAsia="宋体" w:cs="宋体"/>
          <w:lang w:val="en-US" w:eastAsia="zh-CN"/>
        </w:rPr>
        <w:t>ADL的测定</w:t>
      </w:r>
    </w:p>
    <w:p w14:paraId="5BABC905">
      <w:pPr>
        <w:pStyle w:val="9"/>
        <w:rPr>
          <w:rFonts w:hint="eastAsia" w:hAnsi="宋体"/>
          <w:szCs w:val="21"/>
          <w:lang w:val="en-US" w:eastAsia="zh-CN"/>
        </w:rPr>
      </w:pPr>
      <w:r>
        <w:rPr>
          <w:rFonts w:hint="eastAsia" w:hAnsi="宋体"/>
          <w:szCs w:val="21"/>
          <w:lang w:val="en-US" w:eastAsia="zh-CN"/>
        </w:rPr>
        <w:t>按照</w:t>
      </w:r>
      <w:r>
        <w:rPr>
          <w:rFonts w:hint="default" w:ascii="Times New Roman" w:hAnsi="Times New Roman" w:eastAsia="宋体" w:cs="Times New Roman"/>
          <w:i w:val="0"/>
          <w:iCs w:val="0"/>
          <w:caps w:val="0"/>
          <w:color w:val="333333"/>
          <w:spacing w:val="0"/>
          <w:sz w:val="21"/>
          <w:szCs w:val="21"/>
          <w:highlight w:val="none"/>
          <w:shd w:val="clear" w:fill="FFFFFF"/>
          <w:lang w:val="en-US" w:eastAsia="zh-CN"/>
        </w:rPr>
        <w:t xml:space="preserve">GB/T </w:t>
      </w:r>
      <w:r>
        <w:rPr>
          <w:rFonts w:hint="eastAsia" w:ascii="Times New Roman" w:hAnsi="Times New Roman" w:eastAsia="宋体" w:cs="Times New Roman"/>
          <w:i w:val="0"/>
          <w:iCs w:val="0"/>
          <w:caps w:val="0"/>
          <w:color w:val="333333"/>
          <w:spacing w:val="0"/>
          <w:sz w:val="21"/>
          <w:szCs w:val="21"/>
          <w:highlight w:val="none"/>
          <w:shd w:val="clear" w:fill="FFFFFF"/>
          <w:lang w:val="en-US" w:eastAsia="zh-CN"/>
        </w:rPr>
        <w:t>20805-2006</w:t>
      </w:r>
      <w:r>
        <w:rPr>
          <w:rFonts w:hint="default" w:ascii="Times New Roman" w:hAnsi="Times New Roman" w:eastAsia="宋体" w:cs="Times New Roman"/>
          <w:i w:val="0"/>
          <w:iCs w:val="0"/>
          <w:caps w:val="0"/>
          <w:color w:val="333333"/>
          <w:spacing w:val="0"/>
          <w:sz w:val="21"/>
          <w:szCs w:val="21"/>
          <w:highlight w:val="none"/>
          <w:shd w:val="clear" w:fill="FFFFFF"/>
          <w:lang w:val="en-US" w:eastAsia="zh-CN"/>
        </w:rPr>
        <w:t xml:space="preserve"> </w:t>
      </w:r>
      <w:r>
        <w:rPr>
          <w:rFonts w:hint="eastAsia" w:hAnsi="宋体"/>
          <w:szCs w:val="21"/>
          <w:lang w:val="en-US" w:eastAsia="zh-CN"/>
        </w:rPr>
        <w:t>执行</w:t>
      </w:r>
    </w:p>
    <w:p w14:paraId="3F901A7E">
      <w:pPr>
        <w:pStyle w:val="11"/>
        <w:keepNext w:val="0"/>
        <w:keepLines w:val="0"/>
        <w:pageBreakBefore w:val="0"/>
        <w:widowControl/>
        <w:kinsoku/>
        <w:wordWrap/>
        <w:overflowPunct/>
        <w:topLinePunct w:val="0"/>
        <w:autoSpaceDE/>
        <w:autoSpaceDN/>
        <w:bidi w:val="0"/>
        <w:adjustRightInd/>
        <w:snapToGrid/>
        <w:spacing w:before="157" w:beforeLines="50" w:after="157" w:afterLines="50"/>
        <w:ind w:left="0"/>
        <w:jc w:val="left"/>
        <w:textAlignment w:val="auto"/>
        <w:rPr>
          <w:rFonts w:hint="eastAsia" w:ascii="宋体" w:hAnsi="宋体" w:eastAsia="宋体" w:cs="宋体"/>
          <w:bCs/>
        </w:rPr>
      </w:pPr>
      <w:r>
        <w:rPr>
          <w:rFonts w:hint="eastAsia" w:ascii="宋体" w:hAnsi="宋体" w:eastAsia="宋体" w:cs="宋体"/>
          <w:bCs/>
        </w:rPr>
        <w:t>检验规则</w:t>
      </w:r>
    </w:p>
    <w:p w14:paraId="57E1D378">
      <w:pPr>
        <w:pStyle w:val="12"/>
        <w:keepNext w:val="0"/>
        <w:keepLines w:val="0"/>
        <w:pageBreakBefore w:val="0"/>
        <w:kinsoku/>
        <w:wordWrap/>
        <w:overflowPunct/>
        <w:topLinePunct w:val="0"/>
        <w:bidi w:val="0"/>
        <w:adjustRightInd/>
        <w:snapToGrid/>
        <w:spacing w:beforeLines="0" w:afterLines="0"/>
        <w:ind w:left="0"/>
        <w:textAlignment w:val="auto"/>
        <w:rPr>
          <w:rFonts w:hint="eastAsia" w:ascii="宋体" w:hAnsi="宋体" w:eastAsia="宋体" w:cs="宋体"/>
          <w:bCs/>
        </w:rPr>
      </w:pPr>
      <w:r>
        <w:rPr>
          <w:rFonts w:hint="eastAsia" w:ascii="宋体" w:hAnsi="宋体" w:eastAsia="宋体" w:cs="宋体"/>
          <w:bCs/>
        </w:rPr>
        <w:t>组批</w:t>
      </w:r>
    </w:p>
    <w:p w14:paraId="6E0444B2">
      <w:pPr>
        <w:keepNext w:val="0"/>
        <w:keepLines w:val="0"/>
        <w:pageBreakBefore w:val="0"/>
        <w:kinsoku/>
        <w:wordWrap/>
        <w:overflowPunct/>
        <w:topLinePunct w:val="0"/>
        <w:bidi w:val="0"/>
        <w:adjustRightInd/>
        <w:snapToGrid/>
        <w:ind w:firstLine="420"/>
        <w:textAlignment w:val="auto"/>
        <w:rPr>
          <w:rFonts w:hint="eastAsia" w:ascii="宋体" w:hAnsi="宋体" w:eastAsia="宋体" w:cs="宋体"/>
        </w:rPr>
      </w:pPr>
      <w:r>
        <w:rPr>
          <w:rFonts w:hint="eastAsia" w:ascii="宋体" w:hAnsi="宋体" w:eastAsia="宋体" w:cs="宋体"/>
        </w:rPr>
        <w:t>以相同原材料、相同生产工艺、连续生产或同一班次生产的同一规格的产品为一批，但每批产品不应超过</w:t>
      </w:r>
      <w:r>
        <w:rPr>
          <w:rFonts w:hint="eastAsia" w:ascii="宋体" w:hAnsi="宋体" w:eastAsia="宋体" w:cs="宋体"/>
          <w:kern w:val="0"/>
          <w:szCs w:val="20"/>
        </w:rPr>
        <w:t>50 t</w:t>
      </w:r>
      <w:r>
        <w:rPr>
          <w:rFonts w:hint="eastAsia" w:ascii="宋体" w:hAnsi="宋体" w:eastAsia="宋体" w:cs="宋体"/>
          <w:color w:val="000000"/>
          <w:kern w:val="0"/>
          <w:szCs w:val="20"/>
        </w:rPr>
        <w:t>。</w:t>
      </w:r>
    </w:p>
    <w:p w14:paraId="01C56729">
      <w:pPr>
        <w:pStyle w:val="12"/>
        <w:keepNext w:val="0"/>
        <w:keepLines w:val="0"/>
        <w:pageBreakBefore w:val="0"/>
        <w:widowControl/>
        <w:kinsoku/>
        <w:wordWrap/>
        <w:overflowPunct/>
        <w:topLinePunct w:val="0"/>
        <w:autoSpaceDE/>
        <w:autoSpaceDN/>
        <w:bidi w:val="0"/>
        <w:adjustRightInd/>
        <w:snapToGrid/>
        <w:spacing w:before="157" w:beforeLines="50" w:after="157" w:afterLines="50"/>
        <w:ind w:left="0"/>
        <w:textAlignment w:val="auto"/>
        <w:rPr>
          <w:rFonts w:hint="eastAsia" w:ascii="宋体" w:hAnsi="宋体" w:eastAsia="宋体" w:cs="宋体"/>
          <w:bCs/>
        </w:rPr>
      </w:pPr>
      <w:r>
        <w:rPr>
          <w:rFonts w:hint="eastAsia" w:ascii="宋体" w:hAnsi="宋体" w:eastAsia="宋体" w:cs="宋体"/>
          <w:bCs/>
        </w:rPr>
        <w:t>出厂检验</w:t>
      </w:r>
    </w:p>
    <w:p w14:paraId="3CEE6476">
      <w:pPr>
        <w:pStyle w:val="9"/>
        <w:keepNext w:val="0"/>
        <w:keepLines w:val="0"/>
        <w:pageBreakBefore w:val="0"/>
        <w:kinsoku/>
        <w:wordWrap/>
        <w:overflowPunct/>
        <w:topLinePunct w:val="0"/>
        <w:bidi w:val="0"/>
        <w:adjustRightInd/>
        <w:snapToGrid/>
        <w:textAlignment w:val="auto"/>
        <w:rPr>
          <w:rFonts w:hint="eastAsia" w:ascii="宋体" w:hAnsi="宋体" w:eastAsia="宋体" w:cs="宋体"/>
        </w:rPr>
      </w:pPr>
      <w:r>
        <w:rPr>
          <w:rFonts w:hint="eastAsia" w:ascii="宋体" w:hAnsi="宋体" w:eastAsia="宋体" w:cs="宋体"/>
        </w:rPr>
        <w:t>出厂检验项目为：</w:t>
      </w:r>
      <w:r>
        <w:rPr>
          <w:rFonts w:hint="eastAsia" w:ascii="宋体" w:hAnsi="宋体" w:eastAsia="宋体" w:cs="宋体"/>
          <w:color w:val="000000"/>
        </w:rPr>
        <w:t>外观与性状、</w:t>
      </w:r>
      <w:r>
        <w:rPr>
          <w:rFonts w:hint="eastAsia" w:ascii="宋体" w:hAnsi="宋体" w:eastAsia="宋体" w:cs="宋体"/>
          <w:color w:val="000000"/>
          <w:lang w:val="en-US" w:eastAsia="zh-CN"/>
        </w:rPr>
        <w:t>干物质含量</w:t>
      </w:r>
      <w:r>
        <w:rPr>
          <w:rFonts w:hint="eastAsia" w:ascii="宋体" w:hAnsi="宋体" w:eastAsia="宋体" w:cs="宋体"/>
          <w:color w:val="000000"/>
        </w:rPr>
        <w:t>和水分</w:t>
      </w:r>
      <w:r>
        <w:rPr>
          <w:rFonts w:hint="eastAsia" w:ascii="宋体" w:hAnsi="宋体" w:eastAsia="宋体" w:cs="宋体"/>
        </w:rPr>
        <w:t>。</w:t>
      </w:r>
    </w:p>
    <w:p w14:paraId="469D8D25">
      <w:pPr>
        <w:pStyle w:val="12"/>
        <w:keepNext w:val="0"/>
        <w:keepLines w:val="0"/>
        <w:pageBreakBefore w:val="0"/>
        <w:widowControl/>
        <w:kinsoku/>
        <w:wordWrap/>
        <w:overflowPunct/>
        <w:topLinePunct w:val="0"/>
        <w:autoSpaceDE/>
        <w:autoSpaceDN/>
        <w:bidi w:val="0"/>
        <w:adjustRightInd/>
        <w:snapToGrid/>
        <w:spacing w:before="157" w:beforeLines="50" w:after="157" w:afterLines="50"/>
        <w:ind w:left="0"/>
        <w:textAlignment w:val="auto"/>
        <w:rPr>
          <w:rFonts w:hint="eastAsia" w:ascii="宋体" w:hAnsi="宋体" w:eastAsia="宋体" w:cs="宋体"/>
          <w:bCs/>
        </w:rPr>
      </w:pPr>
      <w:r>
        <w:rPr>
          <w:rFonts w:hint="eastAsia" w:ascii="宋体" w:hAnsi="宋体" w:eastAsia="宋体" w:cs="宋体"/>
          <w:bCs/>
        </w:rPr>
        <w:t>型式检验</w:t>
      </w:r>
    </w:p>
    <w:p w14:paraId="31EB0B2F">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420" w:firstLineChars="200"/>
        <w:textAlignment w:val="auto"/>
        <w:rPr>
          <w:rFonts w:hint="eastAsia" w:ascii="宋体" w:hAnsi="宋体" w:eastAsia="宋体" w:cs="宋体"/>
          <w:kern w:val="0"/>
          <w:szCs w:val="20"/>
        </w:rPr>
      </w:pPr>
      <w:r>
        <w:rPr>
          <w:rFonts w:hint="eastAsia" w:ascii="宋体" w:hAnsi="宋体" w:eastAsia="宋体" w:cs="宋体"/>
          <w:kern w:val="0"/>
          <w:szCs w:val="20"/>
        </w:rPr>
        <w:t>型式检验项目为第4</w:t>
      </w:r>
      <w:r>
        <w:rPr>
          <w:rFonts w:hint="eastAsia" w:ascii="宋体" w:hAnsi="宋体" w:eastAsia="宋体" w:cs="宋体"/>
        </w:rPr>
        <w:t>章规定的所有项目</w:t>
      </w:r>
      <w:r>
        <w:rPr>
          <w:rFonts w:hint="eastAsia" w:ascii="宋体" w:hAnsi="宋体" w:eastAsia="宋体" w:cs="宋体"/>
          <w:kern w:val="0"/>
          <w:szCs w:val="20"/>
        </w:rPr>
        <w:t>。</w:t>
      </w:r>
      <w:r>
        <w:rPr>
          <w:rFonts w:hint="eastAsia" w:ascii="宋体" w:hAnsi="宋体" w:eastAsia="宋体" w:cs="宋体"/>
        </w:rPr>
        <w:t>在正常生产情况下，每半年至少进行1次型式检验。有下列情况之一时，应进行型式检验：</w:t>
      </w:r>
    </w:p>
    <w:p w14:paraId="6B2BB304">
      <w:pPr>
        <w:keepNext w:val="0"/>
        <w:keepLines w:val="0"/>
        <w:pageBreakBefore w:val="0"/>
        <w:kinsoku/>
        <w:wordWrap/>
        <w:overflowPunct/>
        <w:topLinePunct w:val="0"/>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a）产品定型投产</w:t>
      </w:r>
      <w:r>
        <w:rPr>
          <w:rFonts w:hint="eastAsia" w:ascii="宋体" w:hAnsi="宋体" w:cs="宋体"/>
          <w:lang w:val="en-US" w:eastAsia="zh-CN"/>
        </w:rPr>
        <w:t>前</w:t>
      </w:r>
      <w:r>
        <w:rPr>
          <w:rFonts w:hint="eastAsia" w:ascii="宋体" w:hAnsi="宋体" w:eastAsia="宋体" w:cs="宋体"/>
        </w:rPr>
        <w:t>；</w:t>
      </w:r>
    </w:p>
    <w:p w14:paraId="7606FBFC">
      <w:pPr>
        <w:keepNext w:val="0"/>
        <w:keepLines w:val="0"/>
        <w:pageBreakBefore w:val="0"/>
        <w:kinsoku/>
        <w:wordWrap/>
        <w:overflowPunct/>
        <w:topLinePunct w:val="0"/>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b）生产工艺、配方或主要原料来源有较大改变，可能影响产品质量时；</w:t>
      </w:r>
    </w:p>
    <w:p w14:paraId="314CDC56">
      <w:pPr>
        <w:keepNext w:val="0"/>
        <w:keepLines w:val="0"/>
        <w:pageBreakBefore w:val="0"/>
        <w:kinsoku/>
        <w:wordWrap/>
        <w:overflowPunct/>
        <w:topLinePunct w:val="0"/>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c）停产</w:t>
      </w:r>
      <w:r>
        <w:rPr>
          <w:rFonts w:hint="eastAsia" w:ascii="宋体" w:hAnsi="宋体" w:eastAsia="宋体" w:cs="宋体"/>
          <w:color w:val="000000"/>
          <w:kern w:val="0"/>
          <w:szCs w:val="20"/>
        </w:rPr>
        <w:t>3</w:t>
      </w:r>
      <w:r>
        <w:rPr>
          <w:rFonts w:hint="eastAsia" w:ascii="宋体" w:hAnsi="宋体" w:eastAsia="宋体" w:cs="宋体"/>
        </w:rPr>
        <w:t>个月以上，重新恢复生产</w:t>
      </w:r>
      <w:r>
        <w:rPr>
          <w:rFonts w:hint="eastAsia" w:ascii="宋体" w:hAnsi="宋体" w:cs="宋体"/>
          <w:lang w:val="en-US" w:eastAsia="zh-CN"/>
        </w:rPr>
        <w:t>前</w:t>
      </w:r>
      <w:r>
        <w:rPr>
          <w:rFonts w:hint="eastAsia" w:ascii="宋体" w:hAnsi="宋体" w:eastAsia="宋体" w:cs="宋体"/>
        </w:rPr>
        <w:t>；</w:t>
      </w:r>
    </w:p>
    <w:p w14:paraId="1579681F">
      <w:pPr>
        <w:keepNext w:val="0"/>
        <w:keepLines w:val="0"/>
        <w:pageBreakBefore w:val="0"/>
        <w:kinsoku/>
        <w:wordWrap/>
        <w:overflowPunct/>
        <w:topLinePunct w:val="0"/>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d）出厂检验结果与上次型式检验结果有较大差异时；</w:t>
      </w:r>
    </w:p>
    <w:p w14:paraId="5B5876CF">
      <w:pPr>
        <w:keepNext w:val="0"/>
        <w:keepLines w:val="0"/>
        <w:pageBreakBefore w:val="0"/>
        <w:kinsoku/>
        <w:wordWrap/>
        <w:overflowPunct/>
        <w:topLinePunct w:val="0"/>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e）饲料行政管理部门提出检验要求时。</w:t>
      </w:r>
    </w:p>
    <w:p w14:paraId="0C2E9558">
      <w:pPr>
        <w:pStyle w:val="12"/>
        <w:keepNext w:val="0"/>
        <w:keepLines w:val="0"/>
        <w:pageBreakBefore w:val="0"/>
        <w:widowControl/>
        <w:kinsoku/>
        <w:wordWrap/>
        <w:overflowPunct/>
        <w:topLinePunct w:val="0"/>
        <w:autoSpaceDE/>
        <w:autoSpaceDN/>
        <w:bidi w:val="0"/>
        <w:adjustRightInd/>
        <w:snapToGrid/>
        <w:spacing w:before="157" w:beforeLines="50" w:after="157" w:afterLines="50"/>
        <w:ind w:left="0"/>
        <w:textAlignment w:val="auto"/>
        <w:rPr>
          <w:rFonts w:hint="eastAsia" w:ascii="宋体" w:hAnsi="宋体" w:eastAsia="宋体" w:cs="宋体"/>
          <w:bCs/>
        </w:rPr>
      </w:pPr>
      <w:r>
        <w:rPr>
          <w:rFonts w:hint="eastAsia" w:ascii="宋体" w:hAnsi="宋体" w:eastAsia="宋体" w:cs="宋体"/>
          <w:bCs/>
        </w:rPr>
        <w:t>判定规则</w:t>
      </w:r>
    </w:p>
    <w:p w14:paraId="08248572">
      <w:pPr>
        <w:keepNext w:val="0"/>
        <w:keepLines w:val="0"/>
        <w:pageBreakBefore w:val="0"/>
        <w:tabs>
          <w:tab w:val="left" w:pos="6000"/>
        </w:tabs>
        <w:kinsoku/>
        <w:wordWrap/>
        <w:overflowPunct/>
        <w:topLinePunct w:val="0"/>
        <w:bidi w:val="0"/>
        <w:adjustRightInd/>
        <w:snapToGrid/>
        <w:textAlignment w:val="auto"/>
        <w:rPr>
          <w:rFonts w:hint="eastAsia" w:ascii="宋体" w:hAnsi="宋体" w:eastAsia="宋体" w:cs="宋体"/>
        </w:rPr>
      </w:pPr>
      <w:r>
        <w:rPr>
          <w:rFonts w:hint="eastAsia" w:ascii="宋体" w:hAnsi="宋体" w:eastAsia="宋体" w:cs="宋体"/>
        </w:rPr>
        <w:t>7.4.1所检验项目全部合格，判定为该批次产品合格。</w:t>
      </w:r>
    </w:p>
    <w:p w14:paraId="4867DB25">
      <w:pPr>
        <w:keepNext w:val="0"/>
        <w:keepLines w:val="0"/>
        <w:pageBreakBefore w:val="0"/>
        <w:tabs>
          <w:tab w:val="left" w:pos="6000"/>
        </w:tabs>
        <w:kinsoku/>
        <w:wordWrap/>
        <w:overflowPunct/>
        <w:topLinePunct w:val="0"/>
        <w:bidi w:val="0"/>
        <w:adjustRightInd/>
        <w:snapToGrid/>
        <w:textAlignment w:val="auto"/>
        <w:rPr>
          <w:rFonts w:hint="eastAsia" w:ascii="宋体" w:hAnsi="宋体" w:eastAsia="宋体" w:cs="宋体"/>
        </w:rPr>
      </w:pPr>
      <w:r>
        <w:rPr>
          <w:rFonts w:hint="eastAsia" w:ascii="宋体" w:hAnsi="宋体" w:eastAsia="宋体" w:cs="宋体"/>
        </w:rPr>
        <w:t>7.4.2 检验结果中有任意一项指标不符合本文件规定时，可</w:t>
      </w:r>
      <w:r>
        <w:rPr>
          <w:rFonts w:hint="eastAsia" w:ascii="宋体" w:hAnsi="宋体" w:cs="宋体"/>
          <w:lang w:val="en-US" w:eastAsia="zh-CN"/>
        </w:rPr>
        <w:t>从</w:t>
      </w:r>
      <w:r>
        <w:rPr>
          <w:rFonts w:hint="eastAsia" w:ascii="宋体" w:hAnsi="宋体" w:eastAsia="宋体" w:cs="宋体"/>
        </w:rPr>
        <w:t>同批次产品中重新加倍采样进行复检。若复检有任一项结果不符合本文件规定，即判定该批次产品不合格。微生物项目不应复检。</w:t>
      </w:r>
    </w:p>
    <w:p w14:paraId="1550A5C5">
      <w:pPr>
        <w:keepNext w:val="0"/>
        <w:keepLines w:val="0"/>
        <w:pageBreakBefore w:val="0"/>
        <w:tabs>
          <w:tab w:val="left" w:pos="6000"/>
        </w:tabs>
        <w:kinsoku/>
        <w:wordWrap/>
        <w:overflowPunct/>
        <w:topLinePunct w:val="0"/>
        <w:bidi w:val="0"/>
        <w:adjustRightInd/>
        <w:snapToGrid/>
        <w:textAlignment w:val="auto"/>
        <w:rPr>
          <w:rFonts w:hint="eastAsia" w:ascii="宋体" w:hAnsi="宋体" w:eastAsia="宋体" w:cs="宋体"/>
        </w:rPr>
      </w:pPr>
      <w:r>
        <w:rPr>
          <w:rFonts w:hint="eastAsia" w:ascii="宋体" w:hAnsi="宋体" w:eastAsia="宋体" w:cs="宋体"/>
        </w:rPr>
        <w:t>7.4.3 质量等级判定原则：各项指标均符合本文件规定中某一等级时，则判定所代表的该批次产品为该等级；若有任意一项指标不符合该等级标准时，则按单项指标所能达到的最低级别定级。任意一项低于最低级别标准</w:t>
      </w:r>
      <w:r>
        <w:rPr>
          <w:rFonts w:hint="eastAsia" w:ascii="宋体" w:hAnsi="宋体" w:cs="宋体"/>
          <w:lang w:val="en-US" w:eastAsia="zh-CN"/>
        </w:rPr>
        <w:t>要求</w:t>
      </w:r>
      <w:r>
        <w:rPr>
          <w:rFonts w:hint="eastAsia" w:ascii="宋体" w:hAnsi="宋体" w:eastAsia="宋体" w:cs="宋体"/>
        </w:rPr>
        <w:t>时，则判定所代表的该批次产品不符合本文件要求。</w:t>
      </w:r>
    </w:p>
    <w:p w14:paraId="15631C1C">
      <w:pPr>
        <w:keepNext w:val="0"/>
        <w:keepLines w:val="0"/>
        <w:pageBreakBefore w:val="0"/>
        <w:tabs>
          <w:tab w:val="left" w:pos="6000"/>
        </w:tabs>
        <w:kinsoku/>
        <w:wordWrap/>
        <w:overflowPunct/>
        <w:topLinePunct w:val="0"/>
        <w:bidi w:val="0"/>
        <w:adjustRightInd/>
        <w:snapToGrid/>
        <w:textAlignment w:val="auto"/>
        <w:rPr>
          <w:rFonts w:hint="eastAsia" w:ascii="宋体" w:hAnsi="宋体" w:eastAsia="宋体" w:cs="宋体"/>
        </w:rPr>
      </w:pPr>
      <w:r>
        <w:rPr>
          <w:rFonts w:hint="eastAsia" w:ascii="宋体" w:hAnsi="宋体" w:eastAsia="宋体" w:cs="宋体"/>
        </w:rPr>
        <w:t>7.4.4 各项指标的极限数值判定按GB/T 8170中修约值比较法执行。</w:t>
      </w:r>
    </w:p>
    <w:p w14:paraId="5F63C974">
      <w:pPr>
        <w:keepNext w:val="0"/>
        <w:keepLines w:val="0"/>
        <w:pageBreakBefore w:val="0"/>
        <w:tabs>
          <w:tab w:val="left" w:pos="5685"/>
        </w:tabs>
        <w:kinsoku/>
        <w:wordWrap/>
        <w:overflowPunct/>
        <w:topLinePunct w:val="0"/>
        <w:bidi w:val="0"/>
        <w:adjustRightInd/>
        <w:snapToGrid/>
        <w:textAlignment w:val="auto"/>
        <w:rPr>
          <w:rFonts w:hint="eastAsia" w:ascii="宋体" w:hAnsi="宋体" w:eastAsia="宋体" w:cs="宋体"/>
        </w:rPr>
      </w:pPr>
      <w:r>
        <w:rPr>
          <w:rFonts w:hint="eastAsia" w:ascii="宋体" w:hAnsi="宋体" w:eastAsia="宋体" w:cs="宋体"/>
        </w:rPr>
        <w:t>7.4.5 技术指标检验结果判定的允许误差按GB/T 18823规定执行（GB/T 18823未规定的项目除外）。</w:t>
      </w:r>
    </w:p>
    <w:p w14:paraId="1ED9BC4C">
      <w:pPr>
        <w:pStyle w:val="11"/>
        <w:keepNext w:val="0"/>
        <w:keepLines w:val="0"/>
        <w:pageBreakBefore w:val="0"/>
        <w:widowControl/>
        <w:kinsoku/>
        <w:wordWrap/>
        <w:overflowPunct/>
        <w:topLinePunct w:val="0"/>
        <w:autoSpaceDE/>
        <w:autoSpaceDN/>
        <w:bidi w:val="0"/>
        <w:adjustRightInd/>
        <w:snapToGrid/>
        <w:spacing w:before="157" w:beforeLines="50" w:after="157" w:afterLines="50"/>
        <w:ind w:left="0"/>
        <w:textAlignment w:val="auto"/>
        <w:rPr>
          <w:rFonts w:hint="eastAsia" w:ascii="宋体" w:hAnsi="宋体" w:eastAsia="宋体" w:cs="宋体"/>
          <w:szCs w:val="22"/>
        </w:rPr>
      </w:pPr>
      <w:r>
        <w:rPr>
          <w:rFonts w:hint="eastAsia" w:ascii="宋体" w:hAnsi="宋体" w:eastAsia="宋体" w:cs="宋体"/>
          <w:szCs w:val="22"/>
        </w:rPr>
        <w:t>标签、包装、运输、贮存和保质期</w:t>
      </w:r>
    </w:p>
    <w:p w14:paraId="7DA82906">
      <w:pPr>
        <w:pStyle w:val="12"/>
        <w:keepNext w:val="0"/>
        <w:keepLines w:val="0"/>
        <w:pageBreakBefore w:val="0"/>
        <w:widowControl/>
        <w:kinsoku/>
        <w:wordWrap/>
        <w:overflowPunct/>
        <w:topLinePunct w:val="0"/>
        <w:autoSpaceDE/>
        <w:autoSpaceDN/>
        <w:bidi w:val="0"/>
        <w:adjustRightInd/>
        <w:snapToGrid/>
        <w:spacing w:before="157" w:beforeLines="50" w:after="157" w:afterLines="50"/>
        <w:ind w:left="0"/>
        <w:textAlignment w:val="auto"/>
        <w:rPr>
          <w:rFonts w:hint="eastAsia" w:ascii="宋体" w:hAnsi="宋体" w:eastAsia="宋体" w:cs="宋体"/>
          <w:bCs/>
          <w:color w:val="000000"/>
        </w:rPr>
      </w:pPr>
      <w:r>
        <w:rPr>
          <w:rFonts w:hint="eastAsia" w:ascii="宋体" w:hAnsi="宋体" w:eastAsia="宋体" w:cs="宋体"/>
          <w:bCs/>
          <w:color w:val="000000"/>
        </w:rPr>
        <w:t>标签</w:t>
      </w:r>
    </w:p>
    <w:p w14:paraId="13551295">
      <w:pPr>
        <w:pStyle w:val="9"/>
        <w:keepNext w:val="0"/>
        <w:keepLines w:val="0"/>
        <w:pageBreakBefore w:val="0"/>
        <w:kinsoku/>
        <w:wordWrap/>
        <w:overflowPunct/>
        <w:topLinePunct w:val="0"/>
        <w:bidi w:val="0"/>
        <w:adjustRightInd/>
        <w:snapToGrid/>
        <w:textAlignment w:val="auto"/>
        <w:rPr>
          <w:rFonts w:hint="eastAsia" w:ascii="宋体" w:hAnsi="宋体" w:eastAsia="宋体" w:cs="宋体"/>
          <w:highlight w:val="none"/>
        </w:rPr>
      </w:pPr>
      <w:r>
        <w:rPr>
          <w:rFonts w:hint="eastAsia" w:ascii="宋体" w:hAnsi="宋体" w:eastAsia="宋体" w:cs="宋体"/>
          <w:highlight w:val="none"/>
        </w:rPr>
        <w:t>按GB 10648的规定执行。</w:t>
      </w:r>
    </w:p>
    <w:p w14:paraId="06A70FEE">
      <w:pPr>
        <w:pStyle w:val="12"/>
        <w:keepNext w:val="0"/>
        <w:keepLines w:val="0"/>
        <w:pageBreakBefore w:val="0"/>
        <w:widowControl/>
        <w:kinsoku/>
        <w:wordWrap/>
        <w:overflowPunct/>
        <w:topLinePunct w:val="0"/>
        <w:autoSpaceDE/>
        <w:autoSpaceDN/>
        <w:bidi w:val="0"/>
        <w:adjustRightInd/>
        <w:snapToGrid/>
        <w:spacing w:before="157" w:beforeLines="50" w:after="157" w:afterLines="50"/>
        <w:ind w:left="0"/>
        <w:textAlignment w:val="auto"/>
        <w:rPr>
          <w:rFonts w:hint="eastAsia" w:ascii="宋体" w:hAnsi="宋体" w:eastAsia="宋体" w:cs="宋体"/>
          <w:bCs/>
          <w:color w:val="000000"/>
        </w:rPr>
      </w:pPr>
      <w:r>
        <w:rPr>
          <w:rFonts w:hint="eastAsia" w:ascii="宋体" w:hAnsi="宋体" w:eastAsia="宋体" w:cs="宋体"/>
          <w:bCs/>
          <w:color w:val="000000"/>
        </w:rPr>
        <w:t>包装</w:t>
      </w:r>
    </w:p>
    <w:p w14:paraId="39C58EA8">
      <w:pPr>
        <w:pStyle w:val="12"/>
        <w:keepNext w:val="0"/>
        <w:keepLines w:val="0"/>
        <w:pageBreakBefore w:val="0"/>
        <w:numPr>
          <w:ilvl w:val="2"/>
          <w:numId w:val="0"/>
        </w:numPr>
        <w:kinsoku/>
        <w:wordWrap/>
        <w:overflowPunct/>
        <w:topLinePunct w:val="0"/>
        <w:bidi w:val="0"/>
        <w:adjustRightInd/>
        <w:snapToGrid/>
        <w:spacing w:beforeLines="0" w:afterLines="0"/>
        <w:ind w:firstLine="420"/>
        <w:textAlignment w:val="auto"/>
        <w:rPr>
          <w:rFonts w:hint="eastAsia" w:ascii="宋体" w:hAnsi="宋体" w:eastAsia="宋体" w:cs="宋体"/>
        </w:rPr>
      </w:pPr>
      <w:r>
        <w:rPr>
          <w:rFonts w:hint="eastAsia" w:ascii="宋体" w:hAnsi="宋体" w:eastAsia="宋体" w:cs="宋体"/>
        </w:rPr>
        <w:t>包装</w:t>
      </w:r>
      <w:r>
        <w:rPr>
          <w:rFonts w:hint="eastAsia" w:ascii="宋体" w:hAnsi="宋体" w:eastAsia="宋体" w:cs="宋体"/>
          <w:lang w:val="en-US" w:eastAsia="zh-CN"/>
        </w:rPr>
        <w:t>需结合产品特性（湿度、易腐蚀、运输存储需求），选择吨袋（高强度PP编织布+加强筋）</w:t>
      </w:r>
      <w:r>
        <w:rPr>
          <w:rFonts w:hint="eastAsia" w:ascii="宋体" w:hAnsi="宋体" w:eastAsia="宋体" w:cs="宋体"/>
        </w:rPr>
        <w:t>。</w:t>
      </w:r>
    </w:p>
    <w:p w14:paraId="19D4D556">
      <w:pPr>
        <w:pStyle w:val="12"/>
        <w:keepNext w:val="0"/>
        <w:keepLines w:val="0"/>
        <w:pageBreakBefore w:val="0"/>
        <w:widowControl/>
        <w:kinsoku/>
        <w:wordWrap/>
        <w:overflowPunct/>
        <w:topLinePunct w:val="0"/>
        <w:autoSpaceDE/>
        <w:autoSpaceDN/>
        <w:bidi w:val="0"/>
        <w:adjustRightInd/>
        <w:snapToGrid/>
        <w:spacing w:before="157" w:beforeLines="50" w:after="157" w:afterLines="50"/>
        <w:ind w:left="0"/>
        <w:textAlignment w:val="auto"/>
        <w:rPr>
          <w:rFonts w:hint="eastAsia" w:ascii="宋体" w:hAnsi="宋体" w:eastAsia="宋体" w:cs="宋体"/>
          <w:bCs/>
          <w:color w:val="000000"/>
        </w:rPr>
      </w:pPr>
      <w:r>
        <w:rPr>
          <w:rFonts w:hint="eastAsia" w:ascii="宋体" w:hAnsi="宋体" w:eastAsia="宋体" w:cs="宋体"/>
          <w:bCs/>
          <w:color w:val="000000"/>
        </w:rPr>
        <w:t>运输</w:t>
      </w:r>
    </w:p>
    <w:p w14:paraId="6467A2A8">
      <w:pPr>
        <w:keepNext w:val="0"/>
        <w:keepLines w:val="0"/>
        <w:pageBreakBefore w:val="0"/>
        <w:kinsoku/>
        <w:wordWrap/>
        <w:overflowPunct/>
        <w:topLinePunct w:val="0"/>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运输工具应清洁、卫生、能防曝晒、防雨淋。不应与有毒有害的物质混装混运。</w:t>
      </w:r>
    </w:p>
    <w:p w14:paraId="43D104A3">
      <w:pPr>
        <w:pStyle w:val="12"/>
        <w:keepNext w:val="0"/>
        <w:keepLines w:val="0"/>
        <w:pageBreakBefore w:val="0"/>
        <w:widowControl/>
        <w:kinsoku/>
        <w:wordWrap/>
        <w:overflowPunct/>
        <w:topLinePunct w:val="0"/>
        <w:autoSpaceDE/>
        <w:autoSpaceDN/>
        <w:bidi w:val="0"/>
        <w:adjustRightInd/>
        <w:snapToGrid/>
        <w:spacing w:before="157" w:beforeLines="50" w:after="157" w:afterLines="50"/>
        <w:ind w:left="0"/>
        <w:textAlignment w:val="auto"/>
        <w:rPr>
          <w:rFonts w:hint="eastAsia" w:ascii="宋体" w:hAnsi="宋体" w:eastAsia="宋体" w:cs="宋体"/>
          <w:bCs/>
          <w:color w:val="000000"/>
        </w:rPr>
      </w:pPr>
      <w:r>
        <w:rPr>
          <w:rFonts w:hint="eastAsia" w:ascii="宋体" w:hAnsi="宋体" w:eastAsia="宋体" w:cs="宋体"/>
          <w:bCs/>
          <w:color w:val="000000"/>
        </w:rPr>
        <w:t>贮存</w:t>
      </w:r>
    </w:p>
    <w:p w14:paraId="6C00D9DA">
      <w:pPr>
        <w:pStyle w:val="12"/>
        <w:keepNext w:val="0"/>
        <w:keepLines w:val="0"/>
        <w:pageBreakBefore w:val="0"/>
        <w:numPr>
          <w:ilvl w:val="0"/>
          <w:numId w:val="0"/>
        </w:numPr>
        <w:kinsoku/>
        <w:wordWrap/>
        <w:overflowPunct/>
        <w:topLinePunct w:val="0"/>
        <w:bidi w:val="0"/>
        <w:adjustRightInd/>
        <w:snapToGrid/>
        <w:spacing w:beforeLines="0" w:afterLines="0"/>
        <w:ind w:firstLine="420" w:firstLineChars="200"/>
        <w:textAlignment w:val="auto"/>
        <w:rPr>
          <w:rFonts w:hint="eastAsia" w:ascii="宋体" w:hAnsi="宋体" w:eastAsia="宋体" w:cs="宋体"/>
          <w:bCs/>
          <w:color w:val="000000"/>
        </w:rPr>
      </w:pPr>
      <w:r>
        <w:rPr>
          <w:rFonts w:hint="eastAsia" w:ascii="宋体" w:hAnsi="宋体" w:eastAsia="宋体" w:cs="宋体"/>
          <w:kern w:val="2"/>
          <w:szCs w:val="24"/>
        </w:rPr>
        <w:t>贮存环境应通风、干燥、防曝晒、防雨淋，应有防鼠、防鸟等设施。不应与有毒有害物质混储。</w:t>
      </w:r>
    </w:p>
    <w:p w14:paraId="4C29F686">
      <w:pPr>
        <w:pStyle w:val="12"/>
        <w:keepNext w:val="0"/>
        <w:keepLines w:val="0"/>
        <w:pageBreakBefore w:val="0"/>
        <w:widowControl/>
        <w:kinsoku/>
        <w:wordWrap/>
        <w:overflowPunct/>
        <w:topLinePunct w:val="0"/>
        <w:autoSpaceDE/>
        <w:autoSpaceDN/>
        <w:bidi w:val="0"/>
        <w:adjustRightInd/>
        <w:snapToGrid/>
        <w:spacing w:before="157" w:beforeLines="50" w:after="157" w:afterLines="50"/>
        <w:ind w:left="0"/>
        <w:textAlignment w:val="auto"/>
        <w:rPr>
          <w:rFonts w:hint="eastAsia" w:ascii="宋体" w:hAnsi="宋体" w:eastAsia="宋体" w:cs="宋体"/>
          <w:bCs/>
          <w:color w:val="000000"/>
        </w:rPr>
      </w:pPr>
      <w:r>
        <w:rPr>
          <w:rFonts w:hint="eastAsia" w:ascii="宋体" w:hAnsi="宋体" w:eastAsia="宋体" w:cs="宋体"/>
          <w:bCs/>
          <w:color w:val="000000"/>
        </w:rPr>
        <w:t>保质期</w:t>
      </w:r>
      <w:r>
        <w:rPr>
          <w:rFonts w:hint="eastAsia" w:ascii="宋体" w:hAnsi="宋体" w:eastAsia="宋体" w:cs="宋体"/>
          <w:bCs/>
          <w:color w:val="000000"/>
          <w:lang w:val="en-US" w:eastAsia="zh-CN"/>
        </w:rPr>
        <w:t xml:space="preserve">  </w:t>
      </w:r>
      <w:bookmarkStart w:id="2" w:name="_GoBack"/>
      <w:bookmarkEnd w:id="2"/>
    </w:p>
    <w:p w14:paraId="7F725F8E">
      <w:pPr>
        <w:keepNext w:val="0"/>
        <w:keepLines w:val="0"/>
        <w:pageBreakBefore w:val="0"/>
        <w:kinsoku/>
        <w:wordWrap/>
        <w:overflowPunct/>
        <w:topLinePunct w:val="0"/>
        <w:bidi w:val="0"/>
        <w:adjustRightInd/>
        <w:snapToGrid/>
        <w:spacing w:line="324" w:lineRule="exact"/>
        <w:ind w:firstLine="420" w:firstLineChars="200"/>
        <w:textAlignment w:val="auto"/>
        <w:rPr>
          <w:rFonts w:hint="eastAsia" w:ascii="宋体" w:hAnsi="宋体" w:eastAsia="宋体" w:cs="宋体"/>
        </w:rPr>
      </w:pPr>
      <w:r>
        <w:rPr>
          <w:rFonts w:hint="eastAsia" w:ascii="宋体" w:hAnsi="宋体"/>
          <w:szCs w:val="21"/>
        </w:rPr>
        <w:t>保质期由生产企业根据产品特性确定，并在标签中明确标注</w:t>
      </w:r>
      <w:r>
        <w:rPr>
          <w:rFonts w:hint="eastAsia" w:ascii="宋体" w:hAnsi="宋体" w:eastAsia="宋体" w:cs="宋体"/>
        </w:rPr>
        <w:t>。</w:t>
      </w:r>
    </w:p>
    <w:p w14:paraId="72AB57E9">
      <w:pPr>
        <w:keepNext w:val="0"/>
        <w:keepLines w:val="0"/>
        <w:pageBreakBefore w:val="0"/>
        <w:kinsoku/>
        <w:wordWrap/>
        <w:overflowPunct/>
        <w:topLinePunct w:val="0"/>
        <w:bidi w:val="0"/>
        <w:adjustRightInd/>
        <w:snapToGrid/>
        <w:spacing w:line="324" w:lineRule="exact"/>
        <w:ind w:firstLine="420" w:firstLineChars="200"/>
        <w:textAlignment w:val="auto"/>
        <w:rPr>
          <w:rFonts w:hint="eastAsia" w:ascii="宋体" w:hAnsi="宋体" w:cs="宋体"/>
          <w:lang w:val="en-US" w:eastAsia="zh-CN"/>
        </w:rPr>
      </w:pPr>
    </w:p>
    <w:p w14:paraId="7B8D0F4D">
      <w:pPr>
        <w:keepNext w:val="0"/>
        <w:keepLines w:val="0"/>
        <w:pageBreakBefore w:val="0"/>
        <w:widowControl w:val="0"/>
        <w:kinsoku/>
        <w:wordWrap/>
        <w:overflowPunct/>
        <w:topLinePunct w:val="0"/>
        <w:autoSpaceDE/>
        <w:autoSpaceDN/>
        <w:bidi w:val="0"/>
        <w:adjustRightInd/>
        <w:snapToGrid/>
        <w:spacing w:before="157" w:beforeLines="50" w:after="157" w:afterLines="50" w:line="324" w:lineRule="exact"/>
        <w:textAlignment w:val="auto"/>
        <w:rPr>
          <w:rFonts w:hint="eastAsia" w:ascii="宋体" w:hAnsi="宋体" w:eastAsia="宋体" w:cs="宋体"/>
          <w:lang w:val="en-US" w:eastAsia="zh-CN"/>
        </w:rPr>
      </w:pPr>
      <w:r>
        <w:rPr>
          <w:rFonts w:hint="eastAsia" w:ascii="宋体" w:hAnsi="宋体" w:cs="宋体"/>
          <w:lang w:val="en-US" w:eastAsia="zh-CN"/>
        </w:rPr>
        <w:t>9 质量指标附录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1"/>
        <w:gridCol w:w="1719"/>
        <w:gridCol w:w="1846"/>
        <w:gridCol w:w="1936"/>
      </w:tblGrid>
      <w:tr w14:paraId="14F8D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1" w:type="dxa"/>
            <w:vMerge w:val="restart"/>
            <w:vAlign w:val="center"/>
          </w:tcPr>
          <w:p w14:paraId="3A67B85C">
            <w:pPr>
              <w:keepNext w:val="0"/>
              <w:keepLines w:val="0"/>
              <w:pageBreakBefore w:val="0"/>
              <w:kinsoku/>
              <w:wordWrap/>
              <w:overflowPunct/>
              <w:topLinePunct w:val="0"/>
              <w:bidi w:val="0"/>
              <w:adjustRightInd/>
              <w:snapToGrid/>
              <w:spacing w:line="324" w:lineRule="exact"/>
              <w:jc w:val="center"/>
              <w:textAlignment w:val="auto"/>
              <w:rPr>
                <w:rFonts w:hint="eastAsia" w:ascii="宋体" w:hAnsi="宋体" w:eastAsia="宋体" w:cs="宋体"/>
                <w:vertAlign w:val="baseline"/>
              </w:rPr>
            </w:pPr>
            <w:r>
              <w:rPr>
                <w:rFonts w:hint="eastAsia" w:ascii="宋体" w:hAnsi="宋体" w:eastAsia="宋体" w:cs="宋体"/>
                <w:sz w:val="18"/>
                <w:szCs w:val="18"/>
              </w:rPr>
              <w:t>项目</w:t>
            </w:r>
          </w:p>
        </w:tc>
        <w:tc>
          <w:tcPr>
            <w:tcW w:w="5501" w:type="dxa"/>
            <w:gridSpan w:val="3"/>
            <w:shd w:val="clear" w:color="auto" w:fill="auto"/>
            <w:vAlign w:val="center"/>
          </w:tcPr>
          <w:p w14:paraId="254D9B69">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指标</w:t>
            </w:r>
          </w:p>
        </w:tc>
      </w:tr>
      <w:tr w14:paraId="35181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1" w:type="dxa"/>
            <w:vMerge w:val="continue"/>
            <w:vAlign w:val="center"/>
          </w:tcPr>
          <w:p w14:paraId="6ECAB675">
            <w:pPr>
              <w:keepNext w:val="0"/>
              <w:keepLines w:val="0"/>
              <w:pageBreakBefore w:val="0"/>
              <w:kinsoku/>
              <w:wordWrap/>
              <w:overflowPunct/>
              <w:topLinePunct w:val="0"/>
              <w:bidi w:val="0"/>
              <w:adjustRightInd/>
              <w:snapToGrid/>
              <w:spacing w:line="324" w:lineRule="exact"/>
              <w:jc w:val="center"/>
              <w:textAlignment w:val="auto"/>
              <w:rPr>
                <w:rFonts w:hint="eastAsia" w:ascii="宋体" w:hAnsi="宋体" w:eastAsia="宋体" w:cs="宋体"/>
                <w:vertAlign w:val="baseline"/>
              </w:rPr>
            </w:pPr>
          </w:p>
        </w:tc>
        <w:tc>
          <w:tcPr>
            <w:tcW w:w="1719" w:type="dxa"/>
            <w:shd w:val="clear" w:color="auto" w:fill="auto"/>
            <w:vAlign w:val="center"/>
          </w:tcPr>
          <w:p w14:paraId="3C50A31E">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特级</w:t>
            </w:r>
          </w:p>
        </w:tc>
        <w:tc>
          <w:tcPr>
            <w:tcW w:w="1846" w:type="dxa"/>
            <w:shd w:val="clear" w:color="auto" w:fill="auto"/>
            <w:vAlign w:val="center"/>
          </w:tcPr>
          <w:p w14:paraId="65423BB8">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一级</w:t>
            </w:r>
          </w:p>
        </w:tc>
        <w:tc>
          <w:tcPr>
            <w:tcW w:w="1936" w:type="dxa"/>
            <w:shd w:val="clear" w:color="auto" w:fill="auto"/>
            <w:vAlign w:val="center"/>
          </w:tcPr>
          <w:p w14:paraId="491B553A">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二级</w:t>
            </w:r>
          </w:p>
        </w:tc>
      </w:tr>
      <w:tr w14:paraId="15A74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1" w:type="dxa"/>
            <w:vAlign w:val="center"/>
          </w:tcPr>
          <w:p w14:paraId="14462B51">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vertAlign w:val="baseline"/>
              </w:rPr>
            </w:pPr>
            <w:r>
              <w:rPr>
                <w:rFonts w:hint="eastAsia" w:ascii="宋体" w:hAnsi="宋体" w:cs="宋体"/>
                <w:sz w:val="18"/>
                <w:szCs w:val="18"/>
                <w:lang w:val="en-US" w:eastAsia="zh-CN"/>
              </w:rPr>
              <w:t>CP</w:t>
            </w:r>
            <w:r>
              <w:rPr>
                <w:rFonts w:hint="eastAsia" w:ascii="宋体" w:hAnsi="宋体" w:eastAsia="宋体" w:cs="宋体"/>
                <w:sz w:val="18"/>
                <w:szCs w:val="18"/>
              </w:rPr>
              <w:t>（以干基计）/%</w:t>
            </w:r>
          </w:p>
        </w:tc>
        <w:tc>
          <w:tcPr>
            <w:tcW w:w="1719" w:type="dxa"/>
            <w:shd w:val="clear" w:color="auto" w:fill="auto"/>
            <w:vAlign w:val="center"/>
          </w:tcPr>
          <w:p w14:paraId="558EEDBC">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r>
              <w:rPr>
                <w:rFonts w:hint="eastAsia" w:ascii="宋体" w:hAnsi="宋体" w:eastAsia="宋体" w:cs="宋体"/>
                <w:sz w:val="18"/>
                <w:szCs w:val="18"/>
                <w:lang w:val="en-US" w:eastAsia="zh-CN"/>
              </w:rPr>
              <w:t>20</w:t>
            </w:r>
          </w:p>
        </w:tc>
        <w:tc>
          <w:tcPr>
            <w:tcW w:w="1846" w:type="dxa"/>
            <w:shd w:val="clear" w:color="auto" w:fill="auto"/>
            <w:vAlign w:val="center"/>
          </w:tcPr>
          <w:p w14:paraId="62F32CAA">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15≤CP＜20</w:t>
            </w:r>
          </w:p>
        </w:tc>
        <w:tc>
          <w:tcPr>
            <w:tcW w:w="1936" w:type="dxa"/>
            <w:shd w:val="clear" w:color="auto" w:fill="auto"/>
            <w:vAlign w:val="center"/>
          </w:tcPr>
          <w:p w14:paraId="0ADD7F94">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10≤CP＜15</w:t>
            </w:r>
          </w:p>
        </w:tc>
      </w:tr>
      <w:tr w14:paraId="28A62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1" w:type="dxa"/>
            <w:vAlign w:val="center"/>
          </w:tcPr>
          <w:p w14:paraId="18D3FFDC">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vertAlign w:val="baseline"/>
              </w:rPr>
            </w:pPr>
            <w:r>
              <w:rPr>
                <w:rFonts w:hint="eastAsia" w:ascii="宋体" w:hAnsi="宋体" w:cs="宋体"/>
                <w:sz w:val="18"/>
                <w:szCs w:val="18"/>
                <w:lang w:val="en-US" w:eastAsia="zh-CN"/>
              </w:rPr>
              <w:t>Tannins</w:t>
            </w:r>
            <w:r>
              <w:rPr>
                <w:rFonts w:hint="eastAsia" w:ascii="宋体" w:hAnsi="宋体" w:eastAsia="宋体" w:cs="宋体"/>
                <w:sz w:val="18"/>
                <w:szCs w:val="18"/>
              </w:rPr>
              <w:t>（以干基计）/%</w:t>
            </w:r>
          </w:p>
        </w:tc>
        <w:tc>
          <w:tcPr>
            <w:tcW w:w="1719" w:type="dxa"/>
            <w:shd w:val="clear" w:color="auto" w:fill="auto"/>
            <w:vAlign w:val="center"/>
          </w:tcPr>
          <w:p w14:paraId="32E363DE">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r>
              <w:rPr>
                <w:rFonts w:hint="eastAsia" w:ascii="宋体" w:hAnsi="宋体" w:eastAsia="宋体" w:cs="宋体"/>
                <w:sz w:val="18"/>
                <w:szCs w:val="18"/>
                <w:lang w:val="en-US" w:eastAsia="zh-CN"/>
              </w:rPr>
              <w:t>0.1</w:t>
            </w:r>
          </w:p>
        </w:tc>
        <w:tc>
          <w:tcPr>
            <w:tcW w:w="1846" w:type="dxa"/>
          </w:tcPr>
          <w:p w14:paraId="0D1CC6E2">
            <w:pPr>
              <w:keepNext w:val="0"/>
              <w:keepLines w:val="0"/>
              <w:pageBreakBefore w:val="0"/>
              <w:kinsoku/>
              <w:wordWrap/>
              <w:overflowPunct/>
              <w:topLinePunct w:val="0"/>
              <w:bidi w:val="0"/>
              <w:adjustRightInd/>
              <w:snapToGrid/>
              <w:spacing w:line="324" w:lineRule="exact"/>
              <w:textAlignment w:val="auto"/>
              <w:rPr>
                <w:rFonts w:hint="eastAsia" w:ascii="宋体" w:hAnsi="宋体" w:eastAsia="宋体" w:cs="宋体"/>
                <w:vertAlign w:val="baseline"/>
              </w:rPr>
            </w:pPr>
            <w:r>
              <w:rPr>
                <w:rFonts w:hint="eastAsia" w:ascii="宋体" w:hAnsi="宋体" w:cs="宋体"/>
                <w:sz w:val="18"/>
                <w:szCs w:val="18"/>
                <w:lang w:val="en-US" w:eastAsia="zh-CN"/>
              </w:rPr>
              <w:t>0.1＜单宁</w:t>
            </w:r>
            <w:r>
              <w:rPr>
                <w:rFonts w:hint="eastAsia" w:ascii="宋体" w:hAnsi="宋体" w:eastAsia="宋体" w:cs="宋体"/>
                <w:sz w:val="18"/>
                <w:szCs w:val="18"/>
              </w:rPr>
              <w:t>≤</w:t>
            </w:r>
            <w:r>
              <w:rPr>
                <w:rFonts w:hint="eastAsia" w:ascii="宋体" w:hAnsi="宋体" w:eastAsia="宋体" w:cs="宋体"/>
                <w:sz w:val="18"/>
                <w:szCs w:val="18"/>
                <w:lang w:val="en-US" w:eastAsia="zh-CN"/>
              </w:rPr>
              <w:t>0.15</w:t>
            </w:r>
          </w:p>
        </w:tc>
        <w:tc>
          <w:tcPr>
            <w:tcW w:w="1936" w:type="dxa"/>
          </w:tcPr>
          <w:p w14:paraId="7B560C4D">
            <w:pPr>
              <w:keepNext w:val="0"/>
              <w:keepLines w:val="0"/>
              <w:pageBreakBefore w:val="0"/>
              <w:kinsoku/>
              <w:wordWrap/>
              <w:overflowPunct/>
              <w:topLinePunct w:val="0"/>
              <w:bidi w:val="0"/>
              <w:adjustRightInd/>
              <w:snapToGrid/>
              <w:spacing w:line="324" w:lineRule="exact"/>
              <w:textAlignment w:val="auto"/>
              <w:rPr>
                <w:rFonts w:hint="eastAsia" w:ascii="宋体" w:hAnsi="宋体" w:eastAsia="宋体" w:cs="宋体"/>
                <w:vertAlign w:val="baseline"/>
              </w:rPr>
            </w:pPr>
            <w:r>
              <w:rPr>
                <w:rFonts w:hint="eastAsia" w:ascii="宋体" w:hAnsi="宋体" w:cs="宋体"/>
                <w:sz w:val="18"/>
                <w:szCs w:val="18"/>
                <w:lang w:val="en-US" w:eastAsia="zh-CN"/>
              </w:rPr>
              <w:t>0.1＜单宁</w:t>
            </w:r>
            <w:r>
              <w:rPr>
                <w:rFonts w:hint="eastAsia" w:ascii="宋体" w:hAnsi="宋体" w:eastAsia="宋体" w:cs="宋体"/>
                <w:sz w:val="18"/>
                <w:szCs w:val="18"/>
              </w:rPr>
              <w:t>≤</w:t>
            </w:r>
            <w:r>
              <w:rPr>
                <w:rFonts w:hint="eastAsia" w:ascii="宋体" w:hAnsi="宋体" w:eastAsia="宋体" w:cs="宋体"/>
                <w:sz w:val="18"/>
                <w:szCs w:val="18"/>
                <w:lang w:val="en-US" w:eastAsia="zh-CN"/>
              </w:rPr>
              <w:t>0.15</w:t>
            </w:r>
          </w:p>
        </w:tc>
      </w:tr>
      <w:tr w14:paraId="3A802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1" w:type="dxa"/>
            <w:vAlign w:val="center"/>
          </w:tcPr>
          <w:p w14:paraId="1CC8CB2E">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vertAlign w:val="baseline"/>
              </w:rPr>
            </w:pPr>
            <w:r>
              <w:rPr>
                <w:rFonts w:hint="eastAsia" w:ascii="宋体" w:hAnsi="宋体" w:cs="宋体"/>
                <w:sz w:val="18"/>
                <w:szCs w:val="18"/>
                <w:lang w:val="en-US" w:eastAsia="zh-CN"/>
              </w:rPr>
              <w:t>ADF</w:t>
            </w:r>
            <w:r>
              <w:rPr>
                <w:rFonts w:hint="eastAsia" w:ascii="宋体" w:hAnsi="宋体" w:eastAsia="宋体" w:cs="宋体"/>
                <w:sz w:val="18"/>
                <w:szCs w:val="18"/>
              </w:rPr>
              <w:t>（以干基计）/%</w:t>
            </w:r>
          </w:p>
        </w:tc>
        <w:tc>
          <w:tcPr>
            <w:tcW w:w="1719" w:type="dxa"/>
            <w:shd w:val="clear" w:color="auto" w:fill="auto"/>
            <w:vAlign w:val="center"/>
          </w:tcPr>
          <w:p w14:paraId="13DE80C3">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r>
              <w:rPr>
                <w:rFonts w:hint="eastAsia" w:ascii="宋体" w:hAnsi="宋体" w:cs="宋体"/>
                <w:sz w:val="18"/>
                <w:szCs w:val="18"/>
                <w:lang w:val="en-US" w:eastAsia="zh-CN"/>
              </w:rPr>
              <w:t>2</w:t>
            </w:r>
            <w:r>
              <w:rPr>
                <w:rFonts w:hint="eastAsia" w:ascii="宋体" w:hAnsi="宋体" w:eastAsia="宋体" w:cs="宋体"/>
                <w:sz w:val="18"/>
                <w:szCs w:val="18"/>
                <w:lang w:val="en-US" w:eastAsia="zh-CN"/>
              </w:rPr>
              <w:t>0</w:t>
            </w:r>
          </w:p>
        </w:tc>
        <w:tc>
          <w:tcPr>
            <w:tcW w:w="1846" w:type="dxa"/>
            <w:shd w:val="clear" w:color="auto" w:fill="auto"/>
            <w:vAlign w:val="center"/>
          </w:tcPr>
          <w:p w14:paraId="326DD8C5">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20＜NDF≤30</w:t>
            </w:r>
          </w:p>
        </w:tc>
        <w:tc>
          <w:tcPr>
            <w:tcW w:w="1936" w:type="dxa"/>
            <w:shd w:val="clear" w:color="auto" w:fill="auto"/>
            <w:vAlign w:val="center"/>
          </w:tcPr>
          <w:p w14:paraId="22F046AD">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r>
              <w:rPr>
                <w:rFonts w:hint="eastAsia" w:ascii="宋体" w:hAnsi="宋体" w:eastAsia="宋体" w:cs="宋体"/>
                <w:sz w:val="18"/>
                <w:szCs w:val="18"/>
                <w:lang w:val="en-US" w:eastAsia="zh-CN"/>
              </w:rPr>
              <w:t>40</w:t>
            </w:r>
          </w:p>
        </w:tc>
      </w:tr>
      <w:tr w14:paraId="2AB53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1" w:type="dxa"/>
            <w:vAlign w:val="center"/>
          </w:tcPr>
          <w:p w14:paraId="0EBB5515">
            <w:pPr>
              <w:keepNext w:val="0"/>
              <w:keepLines w:val="0"/>
              <w:pageBreakBefore w:val="0"/>
              <w:kinsoku/>
              <w:wordWrap/>
              <w:overflowPunct/>
              <w:topLinePunct w:val="0"/>
              <w:bidi w:val="0"/>
              <w:adjustRightInd/>
              <w:snapToGrid/>
              <w:ind w:right="-90" w:rightChars="-43"/>
              <w:jc w:val="center"/>
              <w:textAlignment w:val="auto"/>
              <w:rPr>
                <w:rFonts w:hint="default" w:ascii="宋体" w:hAnsi="宋体" w:eastAsia="宋体" w:cs="宋体"/>
                <w:vertAlign w:val="baseline"/>
                <w:lang w:val="en-US" w:eastAsia="zh-CN"/>
              </w:rPr>
            </w:pPr>
            <w:r>
              <w:rPr>
                <w:rFonts w:hint="eastAsia" w:ascii="宋体" w:hAnsi="宋体" w:cs="宋体"/>
                <w:vertAlign w:val="baseline"/>
                <w:lang w:val="en-US" w:eastAsia="zh-CN"/>
              </w:rPr>
              <w:t>NDF</w:t>
            </w:r>
            <w:r>
              <w:rPr>
                <w:rFonts w:hint="eastAsia" w:ascii="宋体" w:hAnsi="宋体" w:eastAsia="宋体" w:cs="宋体"/>
                <w:sz w:val="18"/>
                <w:szCs w:val="18"/>
              </w:rPr>
              <w:t>/%</w:t>
            </w:r>
          </w:p>
        </w:tc>
        <w:tc>
          <w:tcPr>
            <w:tcW w:w="1719" w:type="dxa"/>
            <w:shd w:val="clear" w:color="auto" w:fill="auto"/>
            <w:vAlign w:val="center"/>
          </w:tcPr>
          <w:p w14:paraId="7A1817D3">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r>
              <w:rPr>
                <w:rFonts w:hint="eastAsia" w:ascii="宋体" w:hAnsi="宋体" w:cs="宋体"/>
                <w:sz w:val="18"/>
                <w:szCs w:val="18"/>
                <w:lang w:val="en-US" w:eastAsia="zh-CN"/>
              </w:rPr>
              <w:t>3</w:t>
            </w:r>
            <w:r>
              <w:rPr>
                <w:rFonts w:hint="eastAsia" w:ascii="宋体" w:hAnsi="宋体" w:eastAsia="宋体" w:cs="宋体"/>
                <w:sz w:val="18"/>
                <w:szCs w:val="18"/>
                <w:lang w:val="en-US" w:eastAsia="zh-CN"/>
              </w:rPr>
              <w:t>0</w:t>
            </w:r>
          </w:p>
        </w:tc>
        <w:tc>
          <w:tcPr>
            <w:tcW w:w="1846" w:type="dxa"/>
            <w:shd w:val="clear" w:color="auto" w:fill="auto"/>
            <w:vAlign w:val="center"/>
          </w:tcPr>
          <w:p w14:paraId="4378501C">
            <w:pPr>
              <w:keepNext w:val="0"/>
              <w:keepLines w:val="0"/>
              <w:pageBreakBefore w:val="0"/>
              <w:kinsoku/>
              <w:wordWrap/>
              <w:overflowPunct/>
              <w:topLinePunct w:val="0"/>
              <w:bidi w:val="0"/>
              <w:adjustRightInd/>
              <w:snapToGrid/>
              <w:ind w:right="-90" w:rightChars="-43"/>
              <w:jc w:val="center"/>
              <w:textAlignment w:val="auto"/>
              <w:rPr>
                <w:rFonts w:hint="default" w:ascii="宋体" w:hAnsi="宋体" w:eastAsia="宋体" w:cs="宋体"/>
                <w:kern w:val="2"/>
                <w:sz w:val="18"/>
                <w:szCs w:val="18"/>
                <w:lang w:val="en-US" w:eastAsia="zh-CN" w:bidi="ar-SA"/>
              </w:rPr>
            </w:pPr>
            <w:r>
              <w:rPr>
                <w:rFonts w:hint="eastAsia" w:ascii="宋体" w:hAnsi="宋体" w:cs="宋体"/>
                <w:sz w:val="18"/>
                <w:szCs w:val="18"/>
                <w:lang w:val="en-US" w:eastAsia="zh-CN"/>
              </w:rPr>
              <w:t>30＜NDF≤40</w:t>
            </w:r>
          </w:p>
        </w:tc>
        <w:tc>
          <w:tcPr>
            <w:tcW w:w="1936" w:type="dxa"/>
            <w:shd w:val="clear" w:color="auto" w:fill="auto"/>
            <w:vAlign w:val="center"/>
          </w:tcPr>
          <w:p w14:paraId="1B6921E7">
            <w:pPr>
              <w:keepNext w:val="0"/>
              <w:keepLines w:val="0"/>
              <w:pageBreakBefore w:val="0"/>
              <w:kinsoku/>
              <w:wordWrap/>
              <w:overflowPunct/>
              <w:topLinePunct w:val="0"/>
              <w:bidi w:val="0"/>
              <w:adjustRightInd/>
              <w:snapToGrid/>
              <w:ind w:right="-90" w:rightChars="-43"/>
              <w:jc w:val="center"/>
              <w:textAlignment w:val="auto"/>
              <w:rPr>
                <w:rFonts w:hint="default" w:ascii="宋体" w:hAnsi="宋体" w:eastAsia="宋体" w:cs="宋体"/>
                <w:kern w:val="2"/>
                <w:sz w:val="18"/>
                <w:szCs w:val="18"/>
                <w:lang w:val="en-US" w:eastAsia="zh-CN" w:bidi="ar-SA"/>
              </w:rPr>
            </w:pPr>
            <w:r>
              <w:rPr>
                <w:rFonts w:hint="eastAsia" w:ascii="宋体" w:hAnsi="宋体" w:cs="宋体"/>
                <w:sz w:val="18"/>
                <w:szCs w:val="18"/>
                <w:lang w:val="en-US" w:eastAsia="zh-CN"/>
              </w:rPr>
              <w:t>40＜NDF≤50</w:t>
            </w:r>
          </w:p>
        </w:tc>
      </w:tr>
      <w:tr w14:paraId="2D931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1" w:type="dxa"/>
            <w:vAlign w:val="center"/>
          </w:tcPr>
          <w:p w14:paraId="5FDF3AEC">
            <w:pPr>
              <w:keepNext w:val="0"/>
              <w:keepLines w:val="0"/>
              <w:pageBreakBefore w:val="0"/>
              <w:kinsoku/>
              <w:wordWrap/>
              <w:overflowPunct/>
              <w:topLinePunct w:val="0"/>
              <w:bidi w:val="0"/>
              <w:adjustRightInd/>
              <w:snapToGrid/>
              <w:ind w:right="-90" w:rightChars="-43"/>
              <w:jc w:val="center"/>
              <w:textAlignment w:val="auto"/>
              <w:rPr>
                <w:rFonts w:hint="default" w:ascii="宋体" w:hAnsi="宋体" w:eastAsia="宋体" w:cs="宋体"/>
                <w:vertAlign w:val="baseline"/>
                <w:lang w:val="en-US" w:eastAsia="zh-CN"/>
              </w:rPr>
            </w:pPr>
            <w:r>
              <w:rPr>
                <w:rFonts w:hint="eastAsia" w:ascii="宋体" w:hAnsi="宋体" w:cs="宋体"/>
                <w:vertAlign w:val="baseline"/>
                <w:lang w:val="en-US" w:eastAsia="zh-CN"/>
              </w:rPr>
              <w:t>ASH</w:t>
            </w:r>
            <w:r>
              <w:rPr>
                <w:rFonts w:hint="eastAsia" w:ascii="宋体" w:hAnsi="宋体" w:eastAsia="宋体" w:cs="宋体"/>
                <w:sz w:val="18"/>
                <w:szCs w:val="18"/>
              </w:rPr>
              <w:t>/%</w:t>
            </w:r>
          </w:p>
        </w:tc>
        <w:tc>
          <w:tcPr>
            <w:tcW w:w="1719" w:type="dxa"/>
            <w:shd w:val="clear" w:color="auto" w:fill="auto"/>
            <w:vAlign w:val="center"/>
          </w:tcPr>
          <w:p w14:paraId="6470B33A">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r>
              <w:rPr>
                <w:rFonts w:hint="eastAsia" w:ascii="宋体" w:hAnsi="宋体" w:cs="宋体"/>
                <w:sz w:val="18"/>
                <w:szCs w:val="18"/>
                <w:lang w:val="en-US" w:eastAsia="zh-CN"/>
              </w:rPr>
              <w:t>5</w:t>
            </w:r>
          </w:p>
        </w:tc>
        <w:tc>
          <w:tcPr>
            <w:tcW w:w="1846" w:type="dxa"/>
            <w:shd w:val="clear" w:color="auto" w:fill="auto"/>
            <w:vAlign w:val="center"/>
          </w:tcPr>
          <w:p w14:paraId="49A8E771">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r>
              <w:rPr>
                <w:rFonts w:hint="eastAsia" w:ascii="宋体" w:hAnsi="宋体" w:cs="宋体"/>
                <w:sz w:val="18"/>
                <w:szCs w:val="18"/>
                <w:lang w:val="en-US" w:eastAsia="zh-CN"/>
              </w:rPr>
              <w:t>5</w:t>
            </w:r>
          </w:p>
        </w:tc>
        <w:tc>
          <w:tcPr>
            <w:tcW w:w="1936" w:type="dxa"/>
            <w:shd w:val="clear" w:color="auto" w:fill="auto"/>
            <w:vAlign w:val="center"/>
          </w:tcPr>
          <w:p w14:paraId="5E31C5BC">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r>
              <w:rPr>
                <w:rFonts w:hint="eastAsia" w:ascii="宋体" w:hAnsi="宋体" w:cs="宋体"/>
                <w:sz w:val="18"/>
                <w:szCs w:val="18"/>
                <w:lang w:val="en-US" w:eastAsia="zh-CN"/>
              </w:rPr>
              <w:t>5</w:t>
            </w:r>
          </w:p>
        </w:tc>
      </w:tr>
      <w:tr w14:paraId="56FB6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1" w:type="dxa"/>
            <w:vAlign w:val="center"/>
          </w:tcPr>
          <w:p w14:paraId="329A2205">
            <w:pPr>
              <w:keepNext w:val="0"/>
              <w:keepLines w:val="0"/>
              <w:pageBreakBefore w:val="0"/>
              <w:kinsoku/>
              <w:wordWrap/>
              <w:overflowPunct/>
              <w:topLinePunct w:val="0"/>
              <w:bidi w:val="0"/>
              <w:adjustRightInd/>
              <w:snapToGrid/>
              <w:ind w:right="-90" w:rightChars="-43"/>
              <w:jc w:val="center"/>
              <w:textAlignment w:val="auto"/>
              <w:rPr>
                <w:rFonts w:hint="default" w:ascii="宋体" w:hAnsi="宋体" w:eastAsia="宋体" w:cs="宋体"/>
                <w:vertAlign w:val="baseline"/>
                <w:lang w:val="en-US" w:eastAsia="zh-CN"/>
              </w:rPr>
            </w:pPr>
            <w:r>
              <w:rPr>
                <w:rFonts w:hint="eastAsia" w:ascii="宋体" w:hAnsi="宋体" w:cs="宋体"/>
                <w:vertAlign w:val="baseline"/>
                <w:lang w:val="en-US" w:eastAsia="zh-CN"/>
              </w:rPr>
              <w:t>ADL</w:t>
            </w:r>
            <w:r>
              <w:rPr>
                <w:rFonts w:hint="eastAsia" w:ascii="宋体" w:hAnsi="宋体" w:eastAsia="宋体" w:cs="宋体"/>
                <w:sz w:val="18"/>
                <w:szCs w:val="18"/>
              </w:rPr>
              <w:t>/%</w:t>
            </w:r>
          </w:p>
        </w:tc>
        <w:tc>
          <w:tcPr>
            <w:tcW w:w="1719" w:type="dxa"/>
            <w:shd w:val="clear" w:color="auto" w:fill="auto"/>
            <w:vAlign w:val="center"/>
          </w:tcPr>
          <w:p w14:paraId="7B318953">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r>
              <w:rPr>
                <w:rFonts w:hint="eastAsia" w:ascii="宋体" w:hAnsi="宋体" w:cs="宋体"/>
                <w:sz w:val="18"/>
                <w:szCs w:val="18"/>
                <w:lang w:val="en-US" w:eastAsia="zh-CN"/>
              </w:rPr>
              <w:t>1</w:t>
            </w:r>
            <w:r>
              <w:rPr>
                <w:rFonts w:hint="eastAsia" w:ascii="宋体" w:hAnsi="宋体" w:eastAsia="宋体" w:cs="宋体"/>
                <w:sz w:val="18"/>
                <w:szCs w:val="18"/>
                <w:lang w:val="en-US" w:eastAsia="zh-CN"/>
              </w:rPr>
              <w:t>0</w:t>
            </w:r>
          </w:p>
        </w:tc>
        <w:tc>
          <w:tcPr>
            <w:tcW w:w="1846" w:type="dxa"/>
            <w:shd w:val="clear" w:color="auto" w:fill="auto"/>
            <w:vAlign w:val="center"/>
          </w:tcPr>
          <w:p w14:paraId="59A8C9EB">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r>
              <w:rPr>
                <w:rFonts w:hint="eastAsia" w:ascii="宋体" w:hAnsi="宋体" w:cs="宋体"/>
                <w:sz w:val="18"/>
                <w:szCs w:val="18"/>
                <w:lang w:val="en-US" w:eastAsia="zh-CN"/>
              </w:rPr>
              <w:t>1</w:t>
            </w:r>
            <w:r>
              <w:rPr>
                <w:rFonts w:hint="eastAsia" w:ascii="宋体" w:hAnsi="宋体" w:eastAsia="宋体" w:cs="宋体"/>
                <w:sz w:val="18"/>
                <w:szCs w:val="18"/>
                <w:lang w:val="en-US" w:eastAsia="zh-CN"/>
              </w:rPr>
              <w:t>0</w:t>
            </w:r>
          </w:p>
        </w:tc>
        <w:tc>
          <w:tcPr>
            <w:tcW w:w="1936" w:type="dxa"/>
            <w:shd w:val="clear" w:color="auto" w:fill="auto"/>
            <w:vAlign w:val="center"/>
          </w:tcPr>
          <w:p w14:paraId="745744B2">
            <w:pPr>
              <w:keepNext w:val="0"/>
              <w:keepLines w:val="0"/>
              <w:pageBreakBefore w:val="0"/>
              <w:kinsoku/>
              <w:wordWrap/>
              <w:overflowPunct/>
              <w:topLinePunct w:val="0"/>
              <w:bidi w:val="0"/>
              <w:adjustRightInd/>
              <w:snapToGrid/>
              <w:ind w:right="-90" w:rightChars="-43"/>
              <w:jc w:val="center"/>
              <w:textAlignment w:val="auto"/>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＞10</w:t>
            </w:r>
          </w:p>
        </w:tc>
      </w:tr>
      <w:tr w14:paraId="2BAC7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1" w:type="dxa"/>
            <w:vAlign w:val="center"/>
          </w:tcPr>
          <w:p w14:paraId="24FD6D78">
            <w:pPr>
              <w:keepNext w:val="0"/>
              <w:keepLines w:val="0"/>
              <w:pageBreakBefore w:val="0"/>
              <w:kinsoku/>
              <w:wordWrap/>
              <w:overflowPunct/>
              <w:topLinePunct w:val="0"/>
              <w:bidi w:val="0"/>
              <w:adjustRightInd/>
              <w:snapToGrid/>
              <w:ind w:right="-90" w:rightChars="-43"/>
              <w:jc w:val="center"/>
              <w:textAlignment w:val="auto"/>
              <w:rPr>
                <w:rFonts w:hint="eastAsia" w:ascii="宋体" w:hAnsi="宋体" w:cs="宋体"/>
                <w:sz w:val="18"/>
                <w:szCs w:val="18"/>
                <w:lang w:val="en-US" w:eastAsia="zh-CN"/>
              </w:rPr>
            </w:pPr>
            <w:r>
              <w:rPr>
                <w:rFonts w:hint="eastAsia" w:ascii="宋体" w:hAnsi="宋体" w:cs="宋体"/>
                <w:vertAlign w:val="baseline"/>
                <w:lang w:val="en-US" w:eastAsia="zh-CN"/>
              </w:rPr>
              <w:t>WSC</w:t>
            </w:r>
            <w:r>
              <w:rPr>
                <w:rFonts w:hint="eastAsia" w:ascii="宋体" w:hAnsi="宋体" w:eastAsia="宋体" w:cs="宋体"/>
                <w:sz w:val="18"/>
                <w:szCs w:val="18"/>
              </w:rPr>
              <w:t>/%</w:t>
            </w:r>
          </w:p>
        </w:tc>
        <w:tc>
          <w:tcPr>
            <w:tcW w:w="1719" w:type="dxa"/>
            <w:shd w:val="clear" w:color="auto" w:fill="auto"/>
            <w:vAlign w:val="center"/>
          </w:tcPr>
          <w:p w14:paraId="3BA98866">
            <w:pPr>
              <w:keepNext w:val="0"/>
              <w:keepLines w:val="0"/>
              <w:pageBreakBefore w:val="0"/>
              <w:kinsoku/>
              <w:wordWrap/>
              <w:overflowPunct/>
              <w:topLinePunct w:val="0"/>
              <w:bidi w:val="0"/>
              <w:adjustRightInd/>
              <w:snapToGrid/>
              <w:ind w:right="-90" w:rightChars="-43"/>
              <w:jc w:val="center"/>
              <w:textAlignment w:val="auto"/>
              <w:rPr>
                <w:rFonts w:hint="default" w:ascii="宋体" w:hAnsi="宋体" w:cs="宋体"/>
                <w:sz w:val="18"/>
                <w:szCs w:val="18"/>
                <w:lang w:val="en-US" w:eastAsia="zh-CN"/>
              </w:rPr>
            </w:pPr>
            <w:r>
              <w:rPr>
                <w:rFonts w:hint="eastAsia" w:ascii="宋体" w:hAnsi="宋体" w:cs="宋体"/>
                <w:sz w:val="18"/>
                <w:szCs w:val="18"/>
                <w:lang w:val="en-US" w:eastAsia="zh-CN"/>
              </w:rPr>
              <w:t>≥20</w:t>
            </w:r>
          </w:p>
        </w:tc>
        <w:tc>
          <w:tcPr>
            <w:tcW w:w="1846" w:type="dxa"/>
            <w:shd w:val="clear" w:color="auto" w:fill="auto"/>
            <w:vAlign w:val="center"/>
          </w:tcPr>
          <w:p w14:paraId="199509F9">
            <w:pPr>
              <w:keepNext w:val="0"/>
              <w:keepLines w:val="0"/>
              <w:pageBreakBefore w:val="0"/>
              <w:kinsoku/>
              <w:wordWrap/>
              <w:overflowPunct/>
              <w:topLinePunct w:val="0"/>
              <w:bidi w:val="0"/>
              <w:adjustRightInd/>
              <w:snapToGrid/>
              <w:ind w:right="-90" w:rightChars="-43"/>
              <w:jc w:val="center"/>
              <w:textAlignment w:val="auto"/>
              <w:rPr>
                <w:rFonts w:hint="eastAsia" w:ascii="宋体" w:hAnsi="宋体" w:cs="宋体"/>
                <w:sz w:val="18"/>
                <w:szCs w:val="18"/>
                <w:lang w:val="en-US" w:eastAsia="zh-CN"/>
              </w:rPr>
            </w:pPr>
            <w:r>
              <w:rPr>
                <w:rFonts w:hint="eastAsia" w:ascii="宋体" w:hAnsi="宋体" w:cs="宋体"/>
                <w:sz w:val="18"/>
                <w:szCs w:val="18"/>
                <w:lang w:val="en-US" w:eastAsia="zh-CN"/>
              </w:rPr>
              <w:t>15≤WSC＜20</w:t>
            </w:r>
          </w:p>
        </w:tc>
        <w:tc>
          <w:tcPr>
            <w:tcW w:w="1936" w:type="dxa"/>
            <w:shd w:val="clear" w:color="auto" w:fill="auto"/>
            <w:vAlign w:val="center"/>
          </w:tcPr>
          <w:p w14:paraId="0342F03B">
            <w:pPr>
              <w:keepNext w:val="0"/>
              <w:keepLines w:val="0"/>
              <w:pageBreakBefore w:val="0"/>
              <w:kinsoku/>
              <w:wordWrap/>
              <w:overflowPunct/>
              <w:topLinePunct w:val="0"/>
              <w:bidi w:val="0"/>
              <w:adjustRightInd/>
              <w:snapToGrid/>
              <w:ind w:right="-90" w:rightChars="-43"/>
              <w:jc w:val="center"/>
              <w:textAlignment w:val="auto"/>
              <w:rPr>
                <w:rFonts w:hint="eastAsia" w:ascii="宋体" w:hAnsi="宋体" w:cs="宋体"/>
                <w:sz w:val="18"/>
                <w:szCs w:val="18"/>
                <w:lang w:val="en-US" w:eastAsia="zh-CN"/>
              </w:rPr>
            </w:pPr>
            <w:r>
              <w:rPr>
                <w:rFonts w:hint="eastAsia" w:ascii="宋体" w:hAnsi="宋体" w:cs="宋体"/>
                <w:sz w:val="18"/>
                <w:szCs w:val="18"/>
                <w:lang w:val="en-US" w:eastAsia="zh-CN"/>
              </w:rPr>
              <w:t>10≤WSC＜15</w:t>
            </w:r>
          </w:p>
        </w:tc>
      </w:tr>
      <w:tr w14:paraId="37C79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1" w:type="dxa"/>
            <w:shd w:val="clear" w:color="auto" w:fill="auto"/>
            <w:vAlign w:val="center"/>
          </w:tcPr>
          <w:p w14:paraId="47CFF79E">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kern w:val="2"/>
                <w:sz w:val="21"/>
                <w:szCs w:val="24"/>
                <w:vertAlign w:val="baseline"/>
                <w:lang w:val="en-US" w:eastAsia="zh-CN" w:bidi="ar-SA"/>
              </w:rPr>
            </w:pPr>
            <w:r>
              <w:rPr>
                <w:rFonts w:hint="eastAsia" w:ascii="宋体" w:hAnsi="宋体" w:eastAsia="宋体" w:cs="宋体"/>
                <w:sz w:val="18"/>
                <w:szCs w:val="18"/>
                <w:lang w:val="en-US" w:eastAsia="zh-CN"/>
              </w:rPr>
              <w:t>pH</w:t>
            </w:r>
          </w:p>
        </w:tc>
        <w:tc>
          <w:tcPr>
            <w:tcW w:w="1719" w:type="dxa"/>
            <w:shd w:val="clear" w:color="auto" w:fill="auto"/>
            <w:vAlign w:val="center"/>
          </w:tcPr>
          <w:p w14:paraId="6A4B36E4">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r>
              <w:rPr>
                <w:rFonts w:hint="eastAsia" w:ascii="宋体" w:hAnsi="宋体" w:eastAsia="宋体" w:cs="宋体"/>
                <w:sz w:val="18"/>
                <w:szCs w:val="18"/>
                <w:lang w:val="en-US" w:eastAsia="zh-CN"/>
              </w:rPr>
              <w:t>4</w:t>
            </w:r>
          </w:p>
        </w:tc>
        <w:tc>
          <w:tcPr>
            <w:tcW w:w="1846" w:type="dxa"/>
            <w:shd w:val="clear" w:color="auto" w:fill="auto"/>
            <w:vAlign w:val="center"/>
          </w:tcPr>
          <w:p w14:paraId="40F9D744">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r>
              <w:rPr>
                <w:rFonts w:hint="eastAsia" w:ascii="宋体" w:hAnsi="宋体" w:eastAsia="宋体" w:cs="宋体"/>
                <w:sz w:val="18"/>
                <w:szCs w:val="18"/>
                <w:lang w:val="en-US" w:eastAsia="zh-CN"/>
              </w:rPr>
              <w:t>4</w:t>
            </w:r>
          </w:p>
        </w:tc>
        <w:tc>
          <w:tcPr>
            <w:tcW w:w="1936" w:type="dxa"/>
            <w:shd w:val="clear" w:color="auto" w:fill="auto"/>
            <w:vAlign w:val="center"/>
          </w:tcPr>
          <w:p w14:paraId="63B4A92E">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r>
              <w:rPr>
                <w:rFonts w:hint="eastAsia" w:ascii="宋体" w:hAnsi="宋体" w:eastAsia="宋体" w:cs="宋体"/>
                <w:sz w:val="18"/>
                <w:szCs w:val="18"/>
                <w:lang w:val="en-US" w:eastAsia="zh-CN"/>
              </w:rPr>
              <w:t>4</w:t>
            </w:r>
          </w:p>
        </w:tc>
      </w:tr>
      <w:tr w14:paraId="5BFDC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1" w:type="dxa"/>
            <w:shd w:val="clear" w:color="auto" w:fill="auto"/>
            <w:vAlign w:val="center"/>
          </w:tcPr>
          <w:p w14:paraId="658630C2">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kern w:val="2"/>
                <w:sz w:val="21"/>
                <w:szCs w:val="24"/>
                <w:vertAlign w:val="baseline"/>
                <w:lang w:val="en-US" w:eastAsia="zh-CN" w:bidi="ar-SA"/>
              </w:rPr>
            </w:pPr>
            <w:r>
              <w:rPr>
                <w:rFonts w:hint="eastAsia" w:ascii="宋体" w:hAnsi="宋体" w:eastAsia="宋体" w:cs="宋体"/>
                <w:sz w:val="18"/>
                <w:szCs w:val="18"/>
                <w:lang w:val="en-US" w:eastAsia="zh-CN"/>
              </w:rPr>
              <w:t>NH</w:t>
            </w:r>
            <w:r>
              <w:rPr>
                <w:rFonts w:hint="eastAsia" w:ascii="宋体" w:hAnsi="宋体" w:eastAsia="宋体" w:cs="宋体"/>
                <w:sz w:val="18"/>
                <w:szCs w:val="18"/>
                <w:vertAlign w:val="subscript"/>
                <w:lang w:val="en-US" w:eastAsia="zh-CN"/>
              </w:rPr>
              <w:t>3</w:t>
            </w:r>
            <w:r>
              <w:rPr>
                <w:rFonts w:hint="eastAsia" w:ascii="宋体" w:hAnsi="宋体" w:eastAsia="宋体" w:cs="宋体"/>
                <w:sz w:val="18"/>
                <w:szCs w:val="18"/>
                <w:lang w:val="en-US" w:eastAsia="zh-CN"/>
              </w:rPr>
              <w:t>-N</w:t>
            </w:r>
            <w:r>
              <w:rPr>
                <w:rFonts w:hint="eastAsia" w:ascii="宋体" w:hAnsi="宋体" w:eastAsia="宋体" w:cs="宋体"/>
                <w:sz w:val="18"/>
                <w:szCs w:val="18"/>
              </w:rPr>
              <w:t>/%</w:t>
            </w:r>
          </w:p>
        </w:tc>
        <w:tc>
          <w:tcPr>
            <w:tcW w:w="1719" w:type="dxa"/>
            <w:shd w:val="clear" w:color="auto" w:fill="auto"/>
            <w:vAlign w:val="center"/>
          </w:tcPr>
          <w:p w14:paraId="59136C3C">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r>
              <w:rPr>
                <w:rFonts w:hint="eastAsia" w:ascii="宋体" w:hAnsi="宋体" w:eastAsia="宋体" w:cs="宋体"/>
                <w:sz w:val="18"/>
                <w:szCs w:val="18"/>
                <w:lang w:val="en-US" w:eastAsia="zh-CN"/>
              </w:rPr>
              <w:t>0.02</w:t>
            </w:r>
          </w:p>
        </w:tc>
        <w:tc>
          <w:tcPr>
            <w:tcW w:w="1846" w:type="dxa"/>
            <w:shd w:val="clear" w:color="auto" w:fill="auto"/>
            <w:vAlign w:val="center"/>
          </w:tcPr>
          <w:p w14:paraId="635EF9F9">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r>
              <w:rPr>
                <w:rFonts w:hint="eastAsia" w:ascii="宋体" w:hAnsi="宋体" w:eastAsia="宋体" w:cs="宋体"/>
                <w:sz w:val="18"/>
                <w:szCs w:val="18"/>
                <w:lang w:val="en-US" w:eastAsia="zh-CN"/>
              </w:rPr>
              <w:t>0.02</w:t>
            </w:r>
          </w:p>
        </w:tc>
        <w:tc>
          <w:tcPr>
            <w:tcW w:w="1936" w:type="dxa"/>
            <w:shd w:val="clear" w:color="auto" w:fill="auto"/>
            <w:vAlign w:val="center"/>
          </w:tcPr>
          <w:p w14:paraId="73A66363">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r>
              <w:rPr>
                <w:rFonts w:hint="eastAsia" w:ascii="宋体" w:hAnsi="宋体" w:eastAsia="宋体" w:cs="宋体"/>
                <w:sz w:val="18"/>
                <w:szCs w:val="18"/>
                <w:lang w:val="en-US" w:eastAsia="zh-CN"/>
              </w:rPr>
              <w:t>0.02</w:t>
            </w:r>
          </w:p>
        </w:tc>
      </w:tr>
      <w:tr w14:paraId="1E56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1" w:type="dxa"/>
            <w:shd w:val="clear" w:color="auto" w:fill="auto"/>
            <w:vAlign w:val="center"/>
          </w:tcPr>
          <w:p w14:paraId="25701975">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kern w:val="2"/>
                <w:sz w:val="21"/>
                <w:szCs w:val="24"/>
                <w:vertAlign w:val="baseline"/>
                <w:lang w:val="en-US" w:eastAsia="zh-CN" w:bidi="ar-SA"/>
              </w:rPr>
            </w:pPr>
            <w:r>
              <w:rPr>
                <w:rFonts w:hint="eastAsia" w:ascii="宋体" w:hAnsi="宋体" w:cs="宋体"/>
                <w:sz w:val="18"/>
                <w:szCs w:val="18"/>
                <w:lang w:val="en-US" w:eastAsia="zh-CN"/>
              </w:rPr>
              <w:t>水分</w:t>
            </w:r>
            <w:r>
              <w:rPr>
                <w:rFonts w:hint="eastAsia" w:ascii="宋体" w:hAnsi="宋体" w:eastAsia="宋体" w:cs="宋体"/>
                <w:sz w:val="18"/>
                <w:szCs w:val="18"/>
              </w:rPr>
              <w:t>/%</w:t>
            </w:r>
          </w:p>
        </w:tc>
        <w:tc>
          <w:tcPr>
            <w:tcW w:w="1719" w:type="dxa"/>
            <w:shd w:val="clear" w:color="auto" w:fill="auto"/>
            <w:vAlign w:val="center"/>
          </w:tcPr>
          <w:p w14:paraId="77AB6C2C">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60≤水分≤65</w:t>
            </w:r>
          </w:p>
        </w:tc>
        <w:tc>
          <w:tcPr>
            <w:tcW w:w="1846" w:type="dxa"/>
            <w:shd w:val="clear" w:color="auto" w:fill="auto"/>
            <w:vAlign w:val="center"/>
          </w:tcPr>
          <w:p w14:paraId="10CD9AF3">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60≤水分≤65</w:t>
            </w:r>
          </w:p>
        </w:tc>
        <w:tc>
          <w:tcPr>
            <w:tcW w:w="1936" w:type="dxa"/>
            <w:shd w:val="clear" w:color="auto" w:fill="auto"/>
            <w:vAlign w:val="center"/>
          </w:tcPr>
          <w:p w14:paraId="423A7935">
            <w:pPr>
              <w:keepNext w:val="0"/>
              <w:keepLines w:val="0"/>
              <w:pageBreakBefore w:val="0"/>
              <w:kinsoku/>
              <w:wordWrap/>
              <w:overflowPunct/>
              <w:topLinePunct w:val="0"/>
              <w:bidi w:val="0"/>
              <w:adjustRightInd/>
              <w:snapToGrid/>
              <w:ind w:right="-90" w:rightChars="-43"/>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60≤水分≤65</w:t>
            </w:r>
          </w:p>
        </w:tc>
      </w:tr>
    </w:tbl>
    <w:p w14:paraId="124D31F8">
      <w:pPr>
        <w:keepNext w:val="0"/>
        <w:keepLines w:val="0"/>
        <w:pageBreakBefore w:val="0"/>
        <w:kinsoku/>
        <w:wordWrap/>
        <w:overflowPunct/>
        <w:topLinePunct w:val="0"/>
        <w:bidi w:val="0"/>
        <w:adjustRightInd/>
        <w:snapToGrid/>
        <w:spacing w:line="324" w:lineRule="exact"/>
        <w:ind w:firstLine="420" w:firstLineChars="200"/>
        <w:textAlignment w:val="auto"/>
        <w:rPr>
          <w:rFonts w:hint="eastAsia" w:ascii="宋体" w:hAnsi="宋体" w:eastAsia="宋体" w:cs="宋体"/>
        </w:rPr>
      </w:pPr>
    </w:p>
    <w:p w14:paraId="054FE347">
      <w:pPr>
        <w:keepNext w:val="0"/>
        <w:keepLines w:val="0"/>
        <w:pageBreakBefore w:val="0"/>
        <w:widowControl w:val="0"/>
        <w:kinsoku/>
        <w:wordWrap/>
        <w:overflowPunct/>
        <w:topLinePunct w:val="0"/>
        <w:autoSpaceDE/>
        <w:autoSpaceDN/>
        <w:bidi w:val="0"/>
        <w:adjustRightInd/>
        <w:snapToGrid/>
        <w:spacing w:line="324" w:lineRule="exact"/>
        <w:ind w:firstLine="0" w:firstLineChars="0"/>
        <w:jc w:val="left"/>
        <w:textAlignment w:val="auto"/>
        <w:rPr>
          <w:rFonts w:hint="eastAsia" w:ascii="宋体" w:hAnsi="宋体" w:eastAsia="宋体" w:cs="宋体"/>
        </w:rPr>
      </w:pPr>
      <w:r>
        <w:rPr>
          <w:sz w:val="21"/>
        </w:rPr>
        <mc:AlternateContent>
          <mc:Choice Requires="wps">
            <w:drawing>
              <wp:anchor distT="0" distB="0" distL="114300" distR="114300" simplePos="0" relativeHeight="251661312" behindDoc="0" locked="0" layoutInCell="1" allowOverlap="1">
                <wp:simplePos x="0" y="0"/>
                <wp:positionH relativeFrom="column">
                  <wp:posOffset>1588135</wp:posOffset>
                </wp:positionH>
                <wp:positionV relativeFrom="paragraph">
                  <wp:posOffset>6178550</wp:posOffset>
                </wp:positionV>
                <wp:extent cx="2098675" cy="0"/>
                <wp:effectExtent l="0" t="9525" r="15875" b="9525"/>
                <wp:wrapNone/>
                <wp:docPr id="5" name="直接连接符 5"/>
                <wp:cNvGraphicFramePr/>
                <a:graphic xmlns:a="http://schemas.openxmlformats.org/drawingml/2006/main">
                  <a:graphicData uri="http://schemas.microsoft.com/office/word/2010/wordprocessingShape">
                    <wps:wsp>
                      <wps:cNvCnPr/>
                      <wps:spPr>
                        <a:xfrm>
                          <a:off x="0" y="0"/>
                          <a:ext cx="2098675" cy="0"/>
                        </a:xfrm>
                        <a:prstGeom prst="line">
                          <a:avLst/>
                        </a:prstGeom>
                        <a:ln w="190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25.05pt;margin-top:486.5pt;height:0pt;width:165.25pt;z-index:251661312;mso-width-relative:page;mso-height-relative:page;" filled="f" stroked="t" coordsize="21600,21600" o:gfxdata="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aIXA2QAA&#10;AAsBAAAPAAAAAAAAAAEAIAAAACIAAABkcnMvZG93bnJldi54bWxQSwECFAAUAAAACACHTuJAYLEv&#10;CeQBAACyAwAADgAAAAAAAAABACAAAAAoAQAAZHJzL2Uyb0RvYy54bWxQSwUGAAAAAAYABgBZAQAA&#10;fgUAAAAA&#10;">
                <v:fill on="f" focussize="0,0"/>
                <v:stroke weight="1.5pt" color="#000000 [3213]" miterlimit="8" joinstyle="miter"/>
                <v:imagedata o:title=""/>
                <o:lock v:ext="edit" aspectratio="f"/>
              </v:line>
            </w:pict>
          </mc:Fallback>
        </mc:AlternateContent>
      </w:r>
    </w:p>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12F80">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1"/>
      <w:suff w:val="nothing"/>
      <w:lvlText w:val="%1　"/>
      <w:lvlJc w:val="left"/>
      <w:pPr>
        <w:ind w:left="284" w:firstLine="0"/>
      </w:pPr>
      <w:rPr>
        <w:rFonts w:hint="eastAsia" w:ascii="黑体" w:hAnsi="Times New Roman" w:eastAsia="黑体"/>
        <w:b w:val="0"/>
        <w:i w:val="0"/>
        <w:sz w:val="21"/>
        <w:szCs w:val="21"/>
      </w:rPr>
    </w:lvl>
    <w:lvl w:ilvl="1" w:tentative="0">
      <w:start w:val="1"/>
      <w:numFmt w:val="decimal"/>
      <w:pStyle w:val="12"/>
      <w:suff w:val="nothing"/>
      <w:lvlText w:val="%1.%2　"/>
      <w:lvlJc w:val="left"/>
      <w:pPr>
        <w:ind w:left="1702"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zNTk3YjA1NmQ5Mzc4MDBlMmI5ZGY4ZmYxYzM2OGYifQ=="/>
  </w:docVars>
  <w:rsids>
    <w:rsidRoot w:val="7CB73045"/>
    <w:rsid w:val="07612C2A"/>
    <w:rsid w:val="07C11DB3"/>
    <w:rsid w:val="14EA7AB9"/>
    <w:rsid w:val="19371A3D"/>
    <w:rsid w:val="1B233A0E"/>
    <w:rsid w:val="1B356C2E"/>
    <w:rsid w:val="20A96CEE"/>
    <w:rsid w:val="237835EF"/>
    <w:rsid w:val="296244C7"/>
    <w:rsid w:val="2B205491"/>
    <w:rsid w:val="34AA1D3F"/>
    <w:rsid w:val="37517629"/>
    <w:rsid w:val="3B2423C6"/>
    <w:rsid w:val="3B365BA1"/>
    <w:rsid w:val="3F4C624D"/>
    <w:rsid w:val="3F9904AC"/>
    <w:rsid w:val="41D10F6F"/>
    <w:rsid w:val="4856739D"/>
    <w:rsid w:val="4D8B1D7C"/>
    <w:rsid w:val="4DA92C5A"/>
    <w:rsid w:val="54D47B64"/>
    <w:rsid w:val="5C6575A6"/>
    <w:rsid w:val="5D52527A"/>
    <w:rsid w:val="625422E5"/>
    <w:rsid w:val="635548F8"/>
    <w:rsid w:val="647165D6"/>
    <w:rsid w:val="6D800432"/>
    <w:rsid w:val="6E3D33FD"/>
    <w:rsid w:val="6E873A42"/>
    <w:rsid w:val="76AF3B36"/>
    <w:rsid w:val="7B8C6B3B"/>
    <w:rsid w:val="7CB73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538"/>
    </w:pPr>
    <w:rPr>
      <w:rFonts w:ascii="宋体" w:hAnsi="宋体" w:eastAsia="宋体"/>
      <w:sz w:val="21"/>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前言、引言标题"/>
    <w:next w:val="9"/>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0">
    <w:name w:val="目次、标准名称标题"/>
    <w:basedOn w:val="1"/>
    <w:next w:val="9"/>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1">
    <w:name w:val="章标题"/>
    <w:next w:val="9"/>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2">
    <w:name w:val="一级条标题"/>
    <w:next w:val="9"/>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3">
    <w:name w:val="正文表标题"/>
    <w:next w:val="9"/>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5">
    <w:name w:val="封面标准英文名称"/>
    <w:basedOn w:val="16"/>
    <w:qFormat/>
    <w:uiPriority w:val="0"/>
    <w:pPr>
      <w:framePr w:wrap="around"/>
      <w:spacing w:before="370" w:line="400" w:lineRule="exact"/>
    </w:pPr>
    <w:rPr>
      <w:rFonts w:ascii="Times New Roman"/>
      <w:sz w:val="28"/>
      <w:szCs w:val="28"/>
    </w:rPr>
  </w:style>
  <w:style w:type="paragraph" w:customStyle="1" w:styleId="1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2061</Words>
  <Characters>2461</Characters>
  <Lines>0</Lines>
  <Paragraphs>0</Paragraphs>
  <TotalTime>14</TotalTime>
  <ScaleCrop>false</ScaleCrop>
  <LinksUpToDate>false</LinksUpToDate>
  <CharactersWithSpaces>2599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2024-12-24T02:04:00Z</dcterms:created>
  <dc:creator>花冢</dc:creator>
  <cp:lastModifiedBy>田兴华</cp:lastModifiedBy>
  <dcterms:modified xsi:type="dcterms:W3CDTF">2025-09-30T02:40:50Z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83B6DBEC6CD74BDBA08BF08CD57FE838_13</vt:lpwstr>
  </property>
  <property fmtid="{D5CDD505-2E9C-101B-9397-08002B2CF9AE}" pid="4" name="KSOTemplateDocerSaveRecord">
    <vt:lpwstr>eyJoZGlkIjoiNzkxMjc3NGQzZDZlZmMwMmM1ZmE4YjJlMTJjODE2ZGYiLCJ1c2VySWQiOiI0MTQ4ODg5MDYifQ==</vt:lpwstr>
  </property>
</Properties>
</file>